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CF4F" w14:textId="77777777" w:rsidR="00032456" w:rsidRPr="00065E09" w:rsidRDefault="00032456" w:rsidP="00032456">
      <w:pPr>
        <w:pStyle w:val="TEXTONORMAL"/>
        <w:spacing w:line="360" w:lineRule="auto"/>
        <w:jc w:val="both"/>
        <w:rPr>
          <w:rFonts w:asciiTheme="minorHAnsi" w:eastAsiaTheme="minorHAnsi" w:hAnsiTheme="minorHAnsi" w:cstheme="minorBidi"/>
          <w:bCs/>
          <w:sz w:val="24"/>
          <w:szCs w:val="24"/>
        </w:rPr>
      </w:pPr>
    </w:p>
    <w:p w14:paraId="7664F405" w14:textId="0BAA62F6" w:rsidR="00032456" w:rsidRPr="002C6F00" w:rsidRDefault="00032456" w:rsidP="00032456">
      <w:pPr>
        <w:jc w:val="both"/>
        <w:rPr>
          <w:rFonts w:asciiTheme="minorHAnsi" w:hAnsiTheme="minorHAnsi"/>
          <w:bCs/>
          <w:i/>
          <w:sz w:val="22"/>
          <w:szCs w:val="22"/>
        </w:rPr>
      </w:pPr>
      <w:r w:rsidRPr="002C6F00">
        <w:rPr>
          <w:rFonts w:asciiTheme="minorHAnsi" w:hAnsiTheme="minorHAnsi"/>
          <w:bCs/>
          <w:i/>
          <w:sz w:val="22"/>
          <w:szCs w:val="22"/>
        </w:rPr>
        <w:t xml:space="preserve">Warszawa, </w:t>
      </w:r>
      <w:r w:rsidR="00A9511F">
        <w:rPr>
          <w:rFonts w:asciiTheme="minorHAnsi" w:hAnsiTheme="minorHAnsi"/>
          <w:bCs/>
          <w:i/>
          <w:sz w:val="22"/>
          <w:szCs w:val="22"/>
        </w:rPr>
        <w:t>11</w:t>
      </w:r>
      <w:r w:rsidR="004E52A0">
        <w:rPr>
          <w:rFonts w:asciiTheme="minorHAnsi" w:hAnsiTheme="minorHAnsi"/>
          <w:bCs/>
          <w:i/>
          <w:sz w:val="22"/>
          <w:szCs w:val="22"/>
        </w:rPr>
        <w:t>.</w:t>
      </w:r>
      <w:r w:rsidR="00A9511F">
        <w:rPr>
          <w:rFonts w:asciiTheme="minorHAnsi" w:hAnsiTheme="minorHAnsi"/>
          <w:bCs/>
          <w:i/>
          <w:sz w:val="22"/>
          <w:szCs w:val="22"/>
        </w:rPr>
        <w:t>10</w:t>
      </w:r>
      <w:r w:rsidR="004E52A0">
        <w:rPr>
          <w:rFonts w:asciiTheme="minorHAnsi" w:hAnsiTheme="minorHAnsi"/>
          <w:bCs/>
          <w:i/>
          <w:sz w:val="22"/>
          <w:szCs w:val="22"/>
        </w:rPr>
        <w:t>.202</w:t>
      </w:r>
      <w:r w:rsidR="000D1E7F">
        <w:rPr>
          <w:rFonts w:asciiTheme="minorHAnsi" w:hAnsiTheme="minorHAnsi"/>
          <w:bCs/>
          <w:i/>
          <w:sz w:val="22"/>
          <w:szCs w:val="22"/>
        </w:rPr>
        <w:t>1</w:t>
      </w:r>
    </w:p>
    <w:p w14:paraId="19F265F8" w14:textId="77777777" w:rsidR="00032456" w:rsidRPr="00FC7A30" w:rsidRDefault="00032456" w:rsidP="00032456">
      <w:pPr>
        <w:jc w:val="both"/>
        <w:rPr>
          <w:rFonts w:asciiTheme="minorHAnsi" w:hAnsiTheme="minorHAnsi"/>
          <w:bCs/>
          <w:sz w:val="22"/>
          <w:szCs w:val="22"/>
        </w:rPr>
      </w:pPr>
    </w:p>
    <w:p w14:paraId="033EA234" w14:textId="71DB2426" w:rsidR="00032456" w:rsidRDefault="006F29BE" w:rsidP="00032456">
      <w:pPr>
        <w:jc w:val="both"/>
        <w:rPr>
          <w:rFonts w:asciiTheme="minorHAnsi" w:hAnsiTheme="minorHAnsi"/>
          <w:b/>
          <w:sz w:val="22"/>
          <w:szCs w:val="22"/>
        </w:rPr>
      </w:pPr>
      <w:r>
        <w:rPr>
          <w:rFonts w:asciiTheme="minorHAnsi" w:hAnsiTheme="minorHAnsi"/>
          <w:b/>
          <w:sz w:val="22"/>
          <w:szCs w:val="22"/>
        </w:rPr>
        <w:t>Konrad Księżopolski</w:t>
      </w:r>
      <w:r w:rsidR="00032456" w:rsidRPr="00726125">
        <w:rPr>
          <w:rFonts w:asciiTheme="minorHAnsi" w:hAnsiTheme="minorHAnsi"/>
          <w:b/>
          <w:sz w:val="22"/>
          <w:szCs w:val="22"/>
        </w:rPr>
        <w:t xml:space="preserve">, </w:t>
      </w:r>
      <w:r w:rsidR="007E7212">
        <w:rPr>
          <w:rFonts w:asciiTheme="minorHAnsi" w:hAnsiTheme="minorHAnsi"/>
          <w:b/>
          <w:sz w:val="22"/>
          <w:szCs w:val="22"/>
        </w:rPr>
        <w:t>Szef Działu Analiz</w:t>
      </w:r>
      <w:r w:rsidR="00032456" w:rsidRPr="00726125">
        <w:rPr>
          <w:rFonts w:asciiTheme="minorHAnsi" w:hAnsiTheme="minorHAnsi"/>
          <w:b/>
          <w:sz w:val="22"/>
          <w:szCs w:val="22"/>
        </w:rPr>
        <w:t xml:space="preserve">, </w:t>
      </w:r>
      <w:proofErr w:type="spellStart"/>
      <w:r w:rsidR="00032456" w:rsidRPr="00726125">
        <w:rPr>
          <w:rFonts w:asciiTheme="minorHAnsi" w:hAnsiTheme="minorHAnsi"/>
          <w:b/>
          <w:sz w:val="22"/>
          <w:szCs w:val="22"/>
        </w:rPr>
        <w:t>Haitong</w:t>
      </w:r>
      <w:proofErr w:type="spellEnd"/>
      <w:r w:rsidR="00032456" w:rsidRPr="00726125">
        <w:rPr>
          <w:rFonts w:asciiTheme="minorHAnsi" w:hAnsiTheme="minorHAnsi"/>
          <w:b/>
          <w:sz w:val="22"/>
          <w:szCs w:val="22"/>
        </w:rPr>
        <w:t xml:space="preserve"> Bank</w:t>
      </w:r>
    </w:p>
    <w:p w14:paraId="14E166D5" w14:textId="77777777" w:rsidR="00032456" w:rsidRDefault="00032456" w:rsidP="00032456">
      <w:pPr>
        <w:jc w:val="both"/>
        <w:rPr>
          <w:rFonts w:asciiTheme="minorHAnsi" w:hAnsiTheme="minorHAnsi"/>
          <w:b/>
          <w:sz w:val="22"/>
          <w:szCs w:val="22"/>
        </w:rPr>
      </w:pPr>
    </w:p>
    <w:p w14:paraId="3855C382" w14:textId="77777777" w:rsidR="005D6747" w:rsidRPr="005D6747" w:rsidRDefault="005D6747" w:rsidP="005D6747">
      <w:pPr>
        <w:pStyle w:val="Default"/>
        <w:jc w:val="both"/>
        <w:rPr>
          <w:rFonts w:asciiTheme="minorHAnsi" w:hAnsiTheme="minorHAnsi"/>
          <w:bCs/>
          <w:sz w:val="22"/>
          <w:szCs w:val="19"/>
        </w:rPr>
      </w:pPr>
      <w:proofErr w:type="spellStart"/>
      <w:r w:rsidRPr="005D6747">
        <w:rPr>
          <w:rFonts w:asciiTheme="minorHAnsi" w:hAnsiTheme="minorHAnsi"/>
          <w:bCs/>
          <w:sz w:val="22"/>
          <w:szCs w:val="19"/>
        </w:rPr>
        <w:t>Haitong</w:t>
      </w:r>
      <w:proofErr w:type="spellEnd"/>
      <w:r w:rsidRPr="005D6747">
        <w:rPr>
          <w:rFonts w:asciiTheme="minorHAnsi" w:hAnsiTheme="minorHAnsi"/>
          <w:bCs/>
          <w:sz w:val="22"/>
          <w:szCs w:val="19"/>
        </w:rPr>
        <w:t xml:space="preserve"> Bank w raporcie z 8 października (godz. 8:00) obniża rekomendację dla Orange Polska do NEUTRALNIE (poprzednio Kupuj), jednocześnie podwyższając cenę docelową do 8,5 PLN z 7,2 PLN.</w:t>
      </w:r>
    </w:p>
    <w:p w14:paraId="4D3A2D0A" w14:textId="77777777" w:rsidR="005D6747" w:rsidRPr="005D6747" w:rsidRDefault="005D6747" w:rsidP="005D6747">
      <w:pPr>
        <w:pStyle w:val="Default"/>
        <w:jc w:val="both"/>
        <w:rPr>
          <w:rFonts w:asciiTheme="minorHAnsi" w:hAnsiTheme="minorHAnsi"/>
          <w:bCs/>
          <w:sz w:val="22"/>
          <w:szCs w:val="19"/>
        </w:rPr>
      </w:pPr>
    </w:p>
    <w:p w14:paraId="4BDEB82A" w14:textId="77777777" w:rsidR="005D6747" w:rsidRPr="005D6747" w:rsidRDefault="005D6747" w:rsidP="005D6747">
      <w:pPr>
        <w:pStyle w:val="Default"/>
        <w:jc w:val="both"/>
        <w:rPr>
          <w:rFonts w:asciiTheme="minorHAnsi" w:hAnsiTheme="minorHAnsi"/>
          <w:bCs/>
          <w:sz w:val="22"/>
          <w:szCs w:val="19"/>
        </w:rPr>
      </w:pPr>
      <w:r w:rsidRPr="005D6747">
        <w:rPr>
          <w:rFonts w:asciiTheme="minorHAnsi" w:hAnsiTheme="minorHAnsi"/>
          <w:bCs/>
          <w:sz w:val="22"/>
          <w:szCs w:val="19"/>
        </w:rPr>
        <w:t xml:space="preserve">Analitycy podwyższają cenę docelową do 8.5 PLN  ze względu na uwzględnienie ostatniej transakcji z </w:t>
      </w:r>
      <w:proofErr w:type="spellStart"/>
      <w:r w:rsidRPr="005D6747">
        <w:rPr>
          <w:rFonts w:asciiTheme="minorHAnsi" w:hAnsiTheme="minorHAnsi"/>
          <w:bCs/>
          <w:sz w:val="22"/>
          <w:szCs w:val="19"/>
        </w:rPr>
        <w:t>FiberCo</w:t>
      </w:r>
      <w:proofErr w:type="spellEnd"/>
      <w:r w:rsidRPr="005D6747">
        <w:rPr>
          <w:rFonts w:asciiTheme="minorHAnsi" w:hAnsiTheme="minorHAnsi"/>
          <w:bCs/>
          <w:sz w:val="22"/>
          <w:szCs w:val="19"/>
        </w:rPr>
        <w:t xml:space="preserve">, która wraz z wyższą wyceną spółek porównywalnych (EV/EBITDA na 2021/2022 na poziomie odpowiednio 5,9/5,9x vs. 5,5/5,5x wcześniej) co pozytywnie wpłynęło na cenę docelową akcji spółki. Analitycy </w:t>
      </w:r>
      <w:proofErr w:type="spellStart"/>
      <w:r w:rsidRPr="005D6747">
        <w:rPr>
          <w:rFonts w:asciiTheme="minorHAnsi" w:hAnsiTheme="minorHAnsi"/>
          <w:bCs/>
          <w:sz w:val="22"/>
          <w:szCs w:val="19"/>
        </w:rPr>
        <w:t>Haitong</w:t>
      </w:r>
      <w:proofErr w:type="spellEnd"/>
      <w:r w:rsidRPr="005D6747">
        <w:rPr>
          <w:rFonts w:asciiTheme="minorHAnsi" w:hAnsiTheme="minorHAnsi"/>
          <w:bCs/>
          <w:sz w:val="22"/>
          <w:szCs w:val="19"/>
        </w:rPr>
        <w:t xml:space="preserve"> Banku doceniają fakt, że Orange Polska przyjął bardziej aktywne podejście do uwalniania wartości z aktywów trwałych. Po transakcji z </w:t>
      </w:r>
      <w:proofErr w:type="spellStart"/>
      <w:r w:rsidRPr="005D6747">
        <w:rPr>
          <w:rFonts w:asciiTheme="minorHAnsi" w:hAnsiTheme="minorHAnsi"/>
          <w:bCs/>
          <w:sz w:val="22"/>
          <w:szCs w:val="19"/>
        </w:rPr>
        <w:t>FiberCo</w:t>
      </w:r>
      <w:proofErr w:type="spellEnd"/>
      <w:r w:rsidRPr="005D6747">
        <w:rPr>
          <w:rFonts w:asciiTheme="minorHAnsi" w:hAnsiTheme="minorHAnsi"/>
          <w:bCs/>
          <w:sz w:val="22"/>
          <w:szCs w:val="19"/>
        </w:rPr>
        <w:t xml:space="preserve">, która przyniesie 1,4 mld PLN w gotówce przed opodatkowaniem, spółka rozważa również działania związane ze stacjami bazowymi, które mogą przynieść kolejny jednorazowy zastrzyk gotówki lub optymalizację wydatków kapitałowych/operacyjnych. Kroki te mogą być ważnym argumentem dla podniesienia dywidendy w przyszłości. Przejęcie UPC Polska przez Play może potencjalnie zaostrzyć konkurencję na rynku konwergencji telekomunikacyjnej w Polsce, ale kwota założonych </w:t>
      </w:r>
      <w:proofErr w:type="spellStart"/>
      <w:r w:rsidRPr="005D6747">
        <w:rPr>
          <w:rFonts w:asciiTheme="minorHAnsi" w:hAnsiTheme="minorHAnsi"/>
          <w:bCs/>
          <w:sz w:val="22"/>
          <w:szCs w:val="19"/>
        </w:rPr>
        <w:t>synergi</w:t>
      </w:r>
      <w:proofErr w:type="spellEnd"/>
      <w:r w:rsidRPr="005D6747">
        <w:rPr>
          <w:rFonts w:asciiTheme="minorHAnsi" w:hAnsiTheme="minorHAnsi"/>
          <w:bCs/>
          <w:sz w:val="22"/>
          <w:szCs w:val="19"/>
        </w:rPr>
        <w:t xml:space="preserve"> Play-</w:t>
      </w:r>
      <w:proofErr w:type="spellStart"/>
      <w:r w:rsidRPr="005D6747">
        <w:rPr>
          <w:rFonts w:asciiTheme="minorHAnsi" w:hAnsiTheme="minorHAnsi"/>
          <w:bCs/>
          <w:sz w:val="22"/>
          <w:szCs w:val="19"/>
        </w:rPr>
        <w:t>UPC</w:t>
      </w:r>
      <w:proofErr w:type="spellEnd"/>
      <w:r w:rsidRPr="005D6747">
        <w:rPr>
          <w:rFonts w:asciiTheme="minorHAnsi" w:hAnsiTheme="minorHAnsi"/>
          <w:bCs/>
          <w:sz w:val="22"/>
          <w:szCs w:val="19"/>
        </w:rPr>
        <w:t xml:space="preserve"> po przejęciu sugerują, że agresywna strategia cenowa jest mniej prawdopodobna, co byłoby pozytywną informacją dla wszystkich operatorów.</w:t>
      </w:r>
    </w:p>
    <w:p w14:paraId="3A4C13CD" w14:textId="77777777" w:rsidR="005D6747" w:rsidRPr="005D6747" w:rsidRDefault="005D6747" w:rsidP="005D6747">
      <w:pPr>
        <w:pStyle w:val="Default"/>
        <w:jc w:val="both"/>
        <w:rPr>
          <w:rFonts w:asciiTheme="minorHAnsi" w:hAnsiTheme="minorHAnsi"/>
          <w:bCs/>
          <w:sz w:val="22"/>
          <w:szCs w:val="19"/>
        </w:rPr>
      </w:pPr>
    </w:p>
    <w:p w14:paraId="13A07292" w14:textId="77777777" w:rsidR="005D6747" w:rsidRPr="005D6747" w:rsidRDefault="005D6747" w:rsidP="005D6747">
      <w:pPr>
        <w:pStyle w:val="Default"/>
        <w:jc w:val="both"/>
        <w:rPr>
          <w:rFonts w:asciiTheme="minorHAnsi" w:hAnsiTheme="minorHAnsi"/>
          <w:b/>
          <w:sz w:val="22"/>
          <w:szCs w:val="19"/>
        </w:rPr>
      </w:pPr>
      <w:r w:rsidRPr="005D6747">
        <w:rPr>
          <w:rFonts w:asciiTheme="minorHAnsi" w:hAnsiTheme="minorHAnsi"/>
          <w:b/>
          <w:sz w:val="22"/>
          <w:szCs w:val="19"/>
        </w:rPr>
        <w:t>Prognoza na III kw. 2021 r.</w:t>
      </w:r>
    </w:p>
    <w:p w14:paraId="0D580F61" w14:textId="77777777" w:rsidR="005D6747" w:rsidRPr="005D6747" w:rsidRDefault="005D6747" w:rsidP="005D6747">
      <w:pPr>
        <w:pStyle w:val="Default"/>
        <w:jc w:val="both"/>
        <w:rPr>
          <w:rFonts w:asciiTheme="minorHAnsi" w:hAnsiTheme="minorHAnsi"/>
          <w:bCs/>
          <w:sz w:val="22"/>
          <w:szCs w:val="19"/>
        </w:rPr>
      </w:pPr>
      <w:r w:rsidRPr="005D6747">
        <w:rPr>
          <w:rFonts w:asciiTheme="minorHAnsi" w:hAnsiTheme="minorHAnsi"/>
          <w:bCs/>
          <w:sz w:val="22"/>
          <w:szCs w:val="19"/>
        </w:rPr>
        <w:t xml:space="preserve">Dwa elementy wpływające na wyniki to obniżki stawek MTR/FTR oraz 1,6 mld PLN jednorazowego zysku przed opodatkowaniem z tytułu transakcji z </w:t>
      </w:r>
      <w:proofErr w:type="spellStart"/>
      <w:r w:rsidRPr="005D6747">
        <w:rPr>
          <w:rFonts w:asciiTheme="minorHAnsi" w:hAnsiTheme="minorHAnsi"/>
          <w:bCs/>
          <w:sz w:val="22"/>
          <w:szCs w:val="19"/>
        </w:rPr>
        <w:t>FiberCo</w:t>
      </w:r>
      <w:proofErr w:type="spellEnd"/>
      <w:r w:rsidRPr="005D6747">
        <w:rPr>
          <w:rFonts w:asciiTheme="minorHAnsi" w:hAnsiTheme="minorHAnsi"/>
          <w:bCs/>
          <w:sz w:val="22"/>
          <w:szCs w:val="19"/>
        </w:rPr>
        <w:t xml:space="preserve">. Orange Polska sprzedał </w:t>
      </w:r>
      <w:proofErr w:type="spellStart"/>
      <w:r w:rsidRPr="005D6747">
        <w:rPr>
          <w:rFonts w:asciiTheme="minorHAnsi" w:hAnsiTheme="minorHAnsi"/>
          <w:bCs/>
          <w:sz w:val="22"/>
          <w:szCs w:val="19"/>
        </w:rPr>
        <w:t>FiberCo</w:t>
      </w:r>
      <w:proofErr w:type="spellEnd"/>
      <w:r w:rsidRPr="005D6747">
        <w:rPr>
          <w:rFonts w:asciiTheme="minorHAnsi" w:hAnsiTheme="minorHAnsi"/>
          <w:bCs/>
          <w:sz w:val="22"/>
          <w:szCs w:val="19"/>
        </w:rPr>
        <w:t xml:space="preserve"> za 1,37 mld PLN, z czego 897 mln PLN zostało już zapłacone, a pozostałe 487 mln PLN zostanie zapłacone w latach 2022-2026 i będzie to uzależnione od realizacji przez Orange Polska uzgodnionego harmonogramu rozwoju sieci. W III kw. br. analitycy oczekują przychodów na poziomie 2 844 mln PLN (+2 proc. r/r), </w:t>
      </w:r>
      <w:proofErr w:type="spellStart"/>
      <w:r w:rsidRPr="005D6747">
        <w:rPr>
          <w:rFonts w:asciiTheme="minorHAnsi" w:hAnsiTheme="minorHAnsi"/>
          <w:bCs/>
          <w:sz w:val="22"/>
          <w:szCs w:val="19"/>
        </w:rPr>
        <w:t>EBITDaL</w:t>
      </w:r>
      <w:proofErr w:type="spellEnd"/>
      <w:r w:rsidRPr="005D6747">
        <w:rPr>
          <w:rFonts w:asciiTheme="minorHAnsi" w:hAnsiTheme="minorHAnsi"/>
          <w:bCs/>
          <w:sz w:val="22"/>
          <w:szCs w:val="19"/>
        </w:rPr>
        <w:t xml:space="preserve"> na poziomie 768 mln PLN (+4 proc. r/r), EBIT na poziomie 1 826 mln PLN oraz zysku netto na poziomie 1 568 mln PLN.</w:t>
      </w:r>
    </w:p>
    <w:p w14:paraId="0652A288" w14:textId="77777777" w:rsidR="005D6747" w:rsidRPr="005D6747" w:rsidRDefault="005D6747" w:rsidP="005D6747">
      <w:pPr>
        <w:pStyle w:val="Default"/>
        <w:jc w:val="both"/>
        <w:rPr>
          <w:rFonts w:asciiTheme="minorHAnsi" w:hAnsiTheme="minorHAnsi"/>
          <w:bCs/>
          <w:sz w:val="22"/>
          <w:szCs w:val="19"/>
        </w:rPr>
      </w:pPr>
    </w:p>
    <w:p w14:paraId="2B31E7EA" w14:textId="77777777" w:rsidR="005D6747" w:rsidRPr="005D6747" w:rsidRDefault="005D6747" w:rsidP="005D6747">
      <w:pPr>
        <w:pStyle w:val="Default"/>
        <w:jc w:val="both"/>
        <w:rPr>
          <w:rFonts w:asciiTheme="minorHAnsi" w:hAnsiTheme="minorHAnsi"/>
          <w:b/>
          <w:sz w:val="22"/>
          <w:szCs w:val="19"/>
        </w:rPr>
      </w:pPr>
      <w:r w:rsidRPr="005D6747">
        <w:rPr>
          <w:rFonts w:asciiTheme="minorHAnsi" w:hAnsiTheme="minorHAnsi"/>
          <w:b/>
          <w:sz w:val="22"/>
          <w:szCs w:val="19"/>
        </w:rPr>
        <w:t>Orange Polska przedstawi strategię dotyczącą stacji bazowych</w:t>
      </w:r>
    </w:p>
    <w:p w14:paraId="349AD1CD" w14:textId="77777777" w:rsidR="005D6747" w:rsidRPr="005D6747" w:rsidRDefault="005D6747" w:rsidP="005D6747">
      <w:pPr>
        <w:pStyle w:val="Default"/>
        <w:jc w:val="both"/>
        <w:rPr>
          <w:rFonts w:asciiTheme="minorHAnsi" w:hAnsiTheme="minorHAnsi"/>
          <w:bCs/>
          <w:sz w:val="22"/>
          <w:szCs w:val="19"/>
        </w:rPr>
      </w:pPr>
      <w:r w:rsidRPr="005D6747">
        <w:rPr>
          <w:rFonts w:asciiTheme="minorHAnsi" w:hAnsiTheme="minorHAnsi"/>
          <w:bCs/>
          <w:sz w:val="22"/>
          <w:szCs w:val="19"/>
        </w:rPr>
        <w:t>Wiceprezes grupy Orange Mari-</w:t>
      </w:r>
      <w:proofErr w:type="spellStart"/>
      <w:r w:rsidRPr="005D6747">
        <w:rPr>
          <w:rFonts w:asciiTheme="minorHAnsi" w:hAnsiTheme="minorHAnsi"/>
          <w:bCs/>
          <w:sz w:val="22"/>
          <w:szCs w:val="19"/>
        </w:rPr>
        <w:t>Noelle</w:t>
      </w:r>
      <w:proofErr w:type="spellEnd"/>
      <w:r w:rsidRPr="005D6747">
        <w:rPr>
          <w:rFonts w:asciiTheme="minorHAnsi" w:hAnsiTheme="minorHAnsi"/>
          <w:bCs/>
          <w:sz w:val="22"/>
          <w:szCs w:val="19"/>
        </w:rPr>
        <w:t xml:space="preserve"> Jego-</w:t>
      </w:r>
      <w:proofErr w:type="spellStart"/>
      <w:r w:rsidRPr="005D6747">
        <w:rPr>
          <w:rFonts w:asciiTheme="minorHAnsi" w:hAnsiTheme="minorHAnsi"/>
          <w:bCs/>
          <w:sz w:val="22"/>
          <w:szCs w:val="19"/>
        </w:rPr>
        <w:t>Laveissiere</w:t>
      </w:r>
      <w:proofErr w:type="spellEnd"/>
      <w:r w:rsidRPr="005D6747">
        <w:rPr>
          <w:rFonts w:asciiTheme="minorHAnsi" w:hAnsiTheme="minorHAnsi"/>
          <w:bCs/>
          <w:sz w:val="22"/>
          <w:szCs w:val="19"/>
        </w:rPr>
        <w:t xml:space="preserve"> powiedziała podczas Orange Europe Day, że Orange Polska chce przedstawić swoje plany dotyczące </w:t>
      </w:r>
      <w:proofErr w:type="spellStart"/>
      <w:r w:rsidRPr="005D6747">
        <w:rPr>
          <w:rFonts w:asciiTheme="minorHAnsi" w:hAnsiTheme="minorHAnsi"/>
          <w:bCs/>
          <w:sz w:val="22"/>
          <w:szCs w:val="19"/>
        </w:rPr>
        <w:t>masztówi</w:t>
      </w:r>
      <w:proofErr w:type="spellEnd"/>
      <w:r w:rsidRPr="005D6747">
        <w:rPr>
          <w:rFonts w:asciiTheme="minorHAnsi" w:hAnsiTheme="minorHAnsi"/>
          <w:bCs/>
          <w:sz w:val="22"/>
          <w:szCs w:val="19"/>
        </w:rPr>
        <w:t xml:space="preserve"> na początku 2022 r., być może przy okazji prezentacji wyników za 2021 r. Prezes Orange Polska </w:t>
      </w:r>
      <w:proofErr w:type="spellStart"/>
      <w:r w:rsidRPr="005D6747">
        <w:rPr>
          <w:rFonts w:asciiTheme="minorHAnsi" w:hAnsiTheme="minorHAnsi"/>
          <w:bCs/>
          <w:sz w:val="22"/>
          <w:szCs w:val="19"/>
        </w:rPr>
        <w:t>Julien</w:t>
      </w:r>
      <w:proofErr w:type="spellEnd"/>
      <w:r w:rsidRPr="005D6747">
        <w:rPr>
          <w:rFonts w:asciiTheme="minorHAnsi" w:hAnsiTheme="minorHAnsi"/>
          <w:bCs/>
          <w:sz w:val="22"/>
          <w:szCs w:val="19"/>
        </w:rPr>
        <w:t xml:space="preserve"> </w:t>
      </w:r>
      <w:proofErr w:type="spellStart"/>
      <w:r w:rsidRPr="005D6747">
        <w:rPr>
          <w:rFonts w:asciiTheme="minorHAnsi" w:hAnsiTheme="minorHAnsi"/>
          <w:bCs/>
          <w:sz w:val="22"/>
          <w:szCs w:val="19"/>
        </w:rPr>
        <w:t>Ducarroz</w:t>
      </w:r>
      <w:proofErr w:type="spellEnd"/>
      <w:r w:rsidRPr="005D6747">
        <w:rPr>
          <w:rFonts w:asciiTheme="minorHAnsi" w:hAnsiTheme="minorHAnsi"/>
          <w:bCs/>
          <w:sz w:val="22"/>
          <w:szCs w:val="19"/>
        </w:rPr>
        <w:t xml:space="preserve"> nie wykluczył współpracy infrastrukturalnej z </w:t>
      </w:r>
      <w:proofErr w:type="spellStart"/>
      <w:r w:rsidRPr="005D6747">
        <w:rPr>
          <w:rFonts w:asciiTheme="minorHAnsi" w:hAnsiTheme="minorHAnsi"/>
          <w:bCs/>
          <w:sz w:val="22"/>
          <w:szCs w:val="19"/>
        </w:rPr>
        <w:t>Cellnexem</w:t>
      </w:r>
      <w:proofErr w:type="spellEnd"/>
      <w:r w:rsidRPr="005D6747">
        <w:rPr>
          <w:rFonts w:asciiTheme="minorHAnsi" w:hAnsiTheme="minorHAnsi"/>
          <w:bCs/>
          <w:sz w:val="22"/>
          <w:szCs w:val="19"/>
        </w:rPr>
        <w:t xml:space="preserve">, który według niego może również budować infrastrukturę związaną z 5G. Prezes informował wcześniej, że jednym z rozważanych scenariuszy dotyczących polskiej infrastruktury stacji bazowych jest udział w projekcie Totem. Prezes spółki zaznaczył, że plany dotyczące tej infrastruktury nie mają wpływu na współpracę z T-Mobile w ramach spółki </w:t>
      </w:r>
      <w:proofErr w:type="spellStart"/>
      <w:r w:rsidRPr="005D6747">
        <w:rPr>
          <w:rFonts w:asciiTheme="minorHAnsi" w:hAnsiTheme="minorHAnsi"/>
          <w:bCs/>
          <w:sz w:val="22"/>
          <w:szCs w:val="19"/>
        </w:rPr>
        <w:t>NetWorks</w:t>
      </w:r>
      <w:proofErr w:type="spellEnd"/>
      <w:r w:rsidRPr="005D6747">
        <w:rPr>
          <w:rFonts w:asciiTheme="minorHAnsi" w:hAnsiTheme="minorHAnsi"/>
          <w:bCs/>
          <w:sz w:val="22"/>
          <w:szCs w:val="19"/>
        </w:rPr>
        <w:t xml:space="preserve">! Zdaniem analityków </w:t>
      </w:r>
      <w:proofErr w:type="spellStart"/>
      <w:r w:rsidRPr="005D6747">
        <w:rPr>
          <w:rFonts w:asciiTheme="minorHAnsi" w:hAnsiTheme="minorHAnsi"/>
          <w:bCs/>
          <w:sz w:val="22"/>
          <w:szCs w:val="19"/>
        </w:rPr>
        <w:t>Haitong</w:t>
      </w:r>
      <w:proofErr w:type="spellEnd"/>
      <w:r w:rsidRPr="005D6747">
        <w:rPr>
          <w:rFonts w:asciiTheme="minorHAnsi" w:hAnsiTheme="minorHAnsi"/>
          <w:bCs/>
          <w:sz w:val="22"/>
          <w:szCs w:val="19"/>
        </w:rPr>
        <w:t xml:space="preserve"> Banku sugeruje to, że albo Orange Polska może zdecydować się na sprzedaż swoich masztów </w:t>
      </w:r>
      <w:proofErr w:type="spellStart"/>
      <w:r w:rsidRPr="005D6747">
        <w:rPr>
          <w:rFonts w:asciiTheme="minorHAnsi" w:hAnsiTheme="minorHAnsi"/>
          <w:bCs/>
          <w:sz w:val="22"/>
          <w:szCs w:val="19"/>
        </w:rPr>
        <w:t>Cellnexowi</w:t>
      </w:r>
      <w:proofErr w:type="spellEnd"/>
      <w:r w:rsidRPr="005D6747">
        <w:rPr>
          <w:rFonts w:asciiTheme="minorHAnsi" w:hAnsiTheme="minorHAnsi"/>
          <w:bCs/>
          <w:sz w:val="22"/>
          <w:szCs w:val="19"/>
        </w:rPr>
        <w:t xml:space="preserve"> (tak jak to zrobił Play i Polkomtel) albo - i jest to dla nas bardziej prawdopodobny scenariusz – spółka zdecyduje się na wynajem potrzebnych nowych masztów od </w:t>
      </w:r>
      <w:proofErr w:type="spellStart"/>
      <w:r w:rsidRPr="005D6747">
        <w:rPr>
          <w:rFonts w:asciiTheme="minorHAnsi" w:hAnsiTheme="minorHAnsi"/>
          <w:bCs/>
          <w:sz w:val="22"/>
          <w:szCs w:val="19"/>
        </w:rPr>
        <w:t>Cellnexu</w:t>
      </w:r>
      <w:proofErr w:type="spellEnd"/>
      <w:r w:rsidRPr="005D6747">
        <w:rPr>
          <w:rFonts w:asciiTheme="minorHAnsi" w:hAnsiTheme="minorHAnsi"/>
          <w:bCs/>
          <w:sz w:val="22"/>
          <w:szCs w:val="19"/>
        </w:rPr>
        <w:t xml:space="preserve">, zamiast ich stawiania. Oznaczałoby to, że Orange Polska mógłby przenieść część kosztów sieci z wydatków kapitałowych do operacyjnych. Niezależnie od decyzji, zdaniem analityków pozytywnie należy ocenić fakt, że po sprzedaży </w:t>
      </w:r>
      <w:proofErr w:type="spellStart"/>
      <w:r w:rsidRPr="005D6747">
        <w:rPr>
          <w:rFonts w:asciiTheme="minorHAnsi" w:hAnsiTheme="minorHAnsi"/>
          <w:bCs/>
          <w:sz w:val="22"/>
          <w:szCs w:val="19"/>
        </w:rPr>
        <w:t>FiberCo</w:t>
      </w:r>
      <w:proofErr w:type="spellEnd"/>
      <w:r w:rsidRPr="005D6747">
        <w:rPr>
          <w:rFonts w:asciiTheme="minorHAnsi" w:hAnsiTheme="minorHAnsi"/>
          <w:bCs/>
          <w:sz w:val="22"/>
          <w:szCs w:val="19"/>
        </w:rPr>
        <w:t>, spółka dość aktywnie myśli również o uwolnieniu wartości z posiadanej infrastruktury masztowej.</w:t>
      </w:r>
    </w:p>
    <w:p w14:paraId="326F7E7D" w14:textId="77777777" w:rsidR="005D6747" w:rsidRPr="005D6747" w:rsidRDefault="005D6747" w:rsidP="005D6747">
      <w:pPr>
        <w:pStyle w:val="Default"/>
        <w:jc w:val="both"/>
        <w:rPr>
          <w:rFonts w:asciiTheme="minorHAnsi" w:hAnsiTheme="minorHAnsi"/>
          <w:bCs/>
          <w:sz w:val="22"/>
          <w:szCs w:val="19"/>
        </w:rPr>
      </w:pPr>
    </w:p>
    <w:p w14:paraId="7A545327" w14:textId="77777777" w:rsidR="005D6747" w:rsidRPr="005D6747" w:rsidRDefault="005D6747" w:rsidP="005D6747">
      <w:pPr>
        <w:pStyle w:val="Default"/>
        <w:jc w:val="both"/>
        <w:rPr>
          <w:rFonts w:asciiTheme="minorHAnsi" w:hAnsiTheme="minorHAnsi"/>
          <w:b/>
          <w:sz w:val="22"/>
          <w:szCs w:val="19"/>
        </w:rPr>
      </w:pPr>
      <w:r w:rsidRPr="005D6747">
        <w:rPr>
          <w:rFonts w:asciiTheme="minorHAnsi" w:hAnsiTheme="minorHAnsi"/>
          <w:b/>
          <w:sz w:val="22"/>
          <w:szCs w:val="19"/>
        </w:rPr>
        <w:t>Play przejął UPC Polska</w:t>
      </w:r>
    </w:p>
    <w:p w14:paraId="5ADFA657" w14:textId="100705E4" w:rsidR="004202D4" w:rsidRPr="004202D4" w:rsidRDefault="005D6747" w:rsidP="005D6747">
      <w:pPr>
        <w:pStyle w:val="Default"/>
        <w:jc w:val="both"/>
        <w:rPr>
          <w:rFonts w:asciiTheme="minorHAnsi" w:hAnsiTheme="minorHAnsi"/>
          <w:bCs/>
          <w:sz w:val="22"/>
          <w:szCs w:val="19"/>
        </w:rPr>
      </w:pPr>
      <w:r w:rsidRPr="005D6747">
        <w:rPr>
          <w:rFonts w:asciiTheme="minorHAnsi" w:hAnsiTheme="minorHAnsi"/>
          <w:bCs/>
          <w:sz w:val="22"/>
          <w:szCs w:val="19"/>
        </w:rPr>
        <w:t xml:space="preserve">22 września br. Play przejął UPC Polska za 7 mld PLN, co implikuje wskaźnik </w:t>
      </w:r>
      <w:proofErr w:type="spellStart"/>
      <w:r w:rsidRPr="005D6747">
        <w:rPr>
          <w:rFonts w:asciiTheme="minorHAnsi" w:hAnsiTheme="minorHAnsi"/>
          <w:bCs/>
          <w:sz w:val="22"/>
          <w:szCs w:val="19"/>
        </w:rPr>
        <w:t>EBITDaL</w:t>
      </w:r>
      <w:proofErr w:type="spellEnd"/>
      <w:r w:rsidRPr="005D6747">
        <w:rPr>
          <w:rFonts w:asciiTheme="minorHAnsi" w:hAnsiTheme="minorHAnsi"/>
          <w:bCs/>
          <w:sz w:val="22"/>
          <w:szCs w:val="19"/>
        </w:rPr>
        <w:t xml:space="preserve"> na 2020 r. na poziomie 9,3x lub 7x przy uwzględnieniu planowanych synergii. Iliad, właściciel Play, oczekuje, że integracja UPC Polska z Play będzie wsparciem dla innowacji produktowych i inwestycji w sieci światłowodowe dla segmentów B2C i B2B. Play i UPC Polska będą razem obejmować swoim zasięgiem </w:t>
      </w:r>
      <w:r w:rsidRPr="005D6747">
        <w:rPr>
          <w:rFonts w:asciiTheme="minorHAnsi" w:hAnsiTheme="minorHAnsi"/>
          <w:bCs/>
          <w:sz w:val="22"/>
          <w:szCs w:val="19"/>
        </w:rPr>
        <w:lastRenderedPageBreak/>
        <w:t xml:space="preserve">całą Polskę, obsługując ponad 17 mln abonentów telefonii komórkowej i stacjonarnej. Oczekuje się, że transakcja zostanie zamknięta w I poł. 2022 r. po uzyskaniu zgody odpowiednich organów. Iliad poinformował, że w wyniku transakcji planuje osiągnąć ok. 40-60 mln EUR synergii (10-30 mln EUR przychodów i 30 mln EUR kosztów) w ciągu najbliższych 3-5 lat po transakcji. Play i UPC Polska staną się drugim największym operatorem telekomunikacyjnym na polskim rynku z łącznymi przychodami w 2020 r. na poziomie 1,96 mld </w:t>
      </w:r>
      <w:proofErr w:type="spellStart"/>
      <w:r w:rsidRPr="005D6747">
        <w:rPr>
          <w:rFonts w:asciiTheme="minorHAnsi" w:hAnsiTheme="minorHAnsi"/>
          <w:bCs/>
          <w:sz w:val="22"/>
          <w:szCs w:val="19"/>
        </w:rPr>
        <w:t>EUR</w:t>
      </w:r>
      <w:proofErr w:type="spellEnd"/>
      <w:r w:rsidRPr="005D6747">
        <w:rPr>
          <w:rFonts w:asciiTheme="minorHAnsi" w:hAnsiTheme="minorHAnsi"/>
          <w:bCs/>
          <w:sz w:val="22"/>
          <w:szCs w:val="19"/>
        </w:rPr>
        <w:t xml:space="preserve"> i łącznym </w:t>
      </w:r>
      <w:proofErr w:type="spellStart"/>
      <w:r w:rsidRPr="005D6747">
        <w:rPr>
          <w:rFonts w:asciiTheme="minorHAnsi" w:hAnsiTheme="minorHAnsi"/>
          <w:bCs/>
          <w:sz w:val="22"/>
          <w:szCs w:val="19"/>
        </w:rPr>
        <w:t>EBITDAaL</w:t>
      </w:r>
      <w:proofErr w:type="spellEnd"/>
      <w:r w:rsidRPr="005D6747">
        <w:rPr>
          <w:rFonts w:asciiTheme="minorHAnsi" w:hAnsiTheme="minorHAnsi"/>
          <w:bCs/>
          <w:sz w:val="22"/>
          <w:szCs w:val="19"/>
        </w:rPr>
        <w:t xml:space="preserve"> w 2020 r. na poziomie 697 mln EUR. Zakładając roczny wzrost </w:t>
      </w:r>
      <w:proofErr w:type="spellStart"/>
      <w:r w:rsidRPr="005D6747">
        <w:rPr>
          <w:rFonts w:asciiTheme="minorHAnsi" w:hAnsiTheme="minorHAnsi"/>
          <w:bCs/>
          <w:sz w:val="22"/>
          <w:szCs w:val="19"/>
        </w:rPr>
        <w:t>EBITDaL</w:t>
      </w:r>
      <w:proofErr w:type="spellEnd"/>
      <w:r w:rsidRPr="005D6747">
        <w:rPr>
          <w:rFonts w:asciiTheme="minorHAnsi" w:hAnsiTheme="minorHAnsi"/>
          <w:bCs/>
          <w:sz w:val="22"/>
          <w:szCs w:val="19"/>
        </w:rPr>
        <w:t xml:space="preserve"> o ok. 3-5 proc. w ciągu najbliższych 3-5 lat, planowane synergie wyniosą ok. 1,6-1,8 proc. łącznego </w:t>
      </w:r>
      <w:proofErr w:type="spellStart"/>
      <w:r w:rsidRPr="005D6747">
        <w:rPr>
          <w:rFonts w:asciiTheme="minorHAnsi" w:hAnsiTheme="minorHAnsi"/>
          <w:bCs/>
          <w:sz w:val="22"/>
          <w:szCs w:val="19"/>
        </w:rPr>
        <w:t>EBITDaL</w:t>
      </w:r>
      <w:proofErr w:type="spellEnd"/>
      <w:r w:rsidRPr="005D6747">
        <w:rPr>
          <w:rFonts w:asciiTheme="minorHAnsi" w:hAnsiTheme="minorHAnsi"/>
          <w:bCs/>
          <w:sz w:val="22"/>
          <w:szCs w:val="19"/>
        </w:rPr>
        <w:t xml:space="preserve">. Zdaniem </w:t>
      </w:r>
      <w:proofErr w:type="spellStart"/>
      <w:r w:rsidRPr="005D6747">
        <w:rPr>
          <w:rFonts w:asciiTheme="minorHAnsi" w:hAnsiTheme="minorHAnsi"/>
          <w:bCs/>
          <w:sz w:val="22"/>
          <w:szCs w:val="19"/>
        </w:rPr>
        <w:t>Haitong</w:t>
      </w:r>
      <w:proofErr w:type="spellEnd"/>
      <w:r w:rsidRPr="005D6747">
        <w:rPr>
          <w:rFonts w:asciiTheme="minorHAnsi" w:hAnsiTheme="minorHAnsi"/>
          <w:bCs/>
          <w:sz w:val="22"/>
          <w:szCs w:val="19"/>
        </w:rPr>
        <w:t xml:space="preserve"> Banku, nie jest to agresywny cel i może wynikać głównie ze sprzedaży krzyżowej (cross-</w:t>
      </w:r>
      <w:proofErr w:type="spellStart"/>
      <w:r w:rsidRPr="005D6747">
        <w:rPr>
          <w:rFonts w:asciiTheme="minorHAnsi" w:hAnsiTheme="minorHAnsi"/>
          <w:bCs/>
          <w:sz w:val="22"/>
          <w:szCs w:val="19"/>
        </w:rPr>
        <w:t>sell</w:t>
      </w:r>
      <w:proofErr w:type="spellEnd"/>
      <w:r w:rsidRPr="005D6747">
        <w:rPr>
          <w:rFonts w:asciiTheme="minorHAnsi" w:hAnsiTheme="minorHAnsi"/>
          <w:bCs/>
          <w:sz w:val="22"/>
          <w:szCs w:val="19"/>
        </w:rPr>
        <w:t xml:space="preserve">) w ramach istniejącej bazy klientów, a nie pozyskiwania nowych z rynku. Może to również oznaczać, że Play nie planuje na razie agresywnej strategii cenowej. UPC Polska zawsze było i nadal jest jednym z najdroższych dostawców telewizji kablowej, podczas gdy Play zbudował swoją pozycję rynkową na agresywnej polityce cenowej. Dlatego też, według analityków, trudno byłoby dla Play uatrakcyjnić ofertę handlową UPC Polska, gdyż oznaczałoby to wyraźne przeszacowanie cen w dół, co wpłynęłoby na przychody i przede wszystkim </w:t>
      </w:r>
      <w:proofErr w:type="spellStart"/>
      <w:r w:rsidRPr="005D6747">
        <w:rPr>
          <w:rFonts w:asciiTheme="minorHAnsi" w:hAnsiTheme="minorHAnsi"/>
          <w:bCs/>
          <w:sz w:val="22"/>
          <w:szCs w:val="19"/>
        </w:rPr>
        <w:t>EBITDaL</w:t>
      </w:r>
      <w:proofErr w:type="spellEnd"/>
      <w:r w:rsidRPr="005D6747">
        <w:rPr>
          <w:rFonts w:asciiTheme="minorHAnsi" w:hAnsiTheme="minorHAnsi"/>
          <w:bCs/>
          <w:sz w:val="22"/>
          <w:szCs w:val="19"/>
        </w:rPr>
        <w:t xml:space="preserve">. Jeśli teza </w:t>
      </w:r>
      <w:proofErr w:type="spellStart"/>
      <w:r w:rsidRPr="005D6747">
        <w:rPr>
          <w:rFonts w:asciiTheme="minorHAnsi" w:hAnsiTheme="minorHAnsi"/>
          <w:bCs/>
          <w:sz w:val="22"/>
          <w:szCs w:val="19"/>
        </w:rPr>
        <w:t>Haitong</w:t>
      </w:r>
      <w:proofErr w:type="spellEnd"/>
      <w:r w:rsidRPr="005D6747">
        <w:rPr>
          <w:rFonts w:asciiTheme="minorHAnsi" w:hAnsiTheme="minorHAnsi"/>
          <w:bCs/>
          <w:sz w:val="22"/>
          <w:szCs w:val="19"/>
        </w:rPr>
        <w:t xml:space="preserve"> Banku jest prawdziwa, to jest to dobra informacja dla </w:t>
      </w:r>
      <w:proofErr w:type="spellStart"/>
      <w:r w:rsidRPr="005D6747">
        <w:rPr>
          <w:rFonts w:asciiTheme="minorHAnsi" w:hAnsiTheme="minorHAnsi"/>
          <w:bCs/>
          <w:sz w:val="22"/>
          <w:szCs w:val="19"/>
        </w:rPr>
        <w:t>konwergentnych</w:t>
      </w:r>
      <w:proofErr w:type="spellEnd"/>
      <w:r w:rsidRPr="005D6747">
        <w:rPr>
          <w:rFonts w:asciiTheme="minorHAnsi" w:hAnsiTheme="minorHAnsi"/>
          <w:bCs/>
          <w:sz w:val="22"/>
          <w:szCs w:val="19"/>
        </w:rPr>
        <w:t xml:space="preserve"> polskich operatorów, takich jak Orange Polska czy Cyfrowy Polsat.</w:t>
      </w:r>
    </w:p>
    <w:sectPr w:rsidR="004202D4" w:rsidRPr="004202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2897" w14:textId="77777777" w:rsidR="00CA251B" w:rsidRDefault="00CA251B">
      <w:r>
        <w:separator/>
      </w:r>
    </w:p>
  </w:endnote>
  <w:endnote w:type="continuationSeparator" w:id="0">
    <w:p w14:paraId="7C16C449" w14:textId="77777777" w:rsidR="00CA251B" w:rsidRDefault="00CA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esSans">
    <w:altName w:val="Malgun Gothic"/>
    <w:panose1 w:val="00000000000000000000"/>
    <w:charset w:val="00"/>
    <w:family w:val="auto"/>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CE1C" w14:textId="77777777" w:rsidR="00CA251B" w:rsidRDefault="00CA251B">
      <w:r>
        <w:separator/>
      </w:r>
    </w:p>
  </w:footnote>
  <w:footnote w:type="continuationSeparator" w:id="0">
    <w:p w14:paraId="003D8200" w14:textId="77777777" w:rsidR="00CA251B" w:rsidRDefault="00CA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941D" w14:textId="77777777" w:rsidR="00474E83" w:rsidRDefault="00874B9E">
    <w:pPr>
      <w:pStyle w:val="Nagwek"/>
    </w:pPr>
    <w:r>
      <w:rPr>
        <w:noProof/>
        <w:lang w:val="pl-PL" w:eastAsia="pl-PL"/>
      </w:rPr>
      <w:drawing>
        <wp:anchor distT="0" distB="0" distL="114300" distR="114300" simplePos="0" relativeHeight="251659264" behindDoc="0" locked="0" layoutInCell="1" allowOverlap="1" wp14:anchorId="0FFC6B06" wp14:editId="61A27249">
          <wp:simplePos x="0" y="0"/>
          <wp:positionH relativeFrom="column">
            <wp:posOffset>-547370</wp:posOffset>
          </wp:positionH>
          <wp:positionV relativeFrom="paragraph">
            <wp:posOffset>-49530</wp:posOffset>
          </wp:positionV>
          <wp:extent cx="2781300" cy="4889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ul_H_pag A2-4-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488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078E"/>
    <w:multiLevelType w:val="hybridMultilevel"/>
    <w:tmpl w:val="1DAC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56"/>
    <w:rsid w:val="0000441D"/>
    <w:rsid w:val="00006F5D"/>
    <w:rsid w:val="000074D9"/>
    <w:rsid w:val="000078C8"/>
    <w:rsid w:val="00011B44"/>
    <w:rsid w:val="00012EBA"/>
    <w:rsid w:val="00022BC9"/>
    <w:rsid w:val="0002361D"/>
    <w:rsid w:val="00023C04"/>
    <w:rsid w:val="00026FFB"/>
    <w:rsid w:val="000279BE"/>
    <w:rsid w:val="00032456"/>
    <w:rsid w:val="000325E2"/>
    <w:rsid w:val="000345A8"/>
    <w:rsid w:val="000448D3"/>
    <w:rsid w:val="00051198"/>
    <w:rsid w:val="00070D61"/>
    <w:rsid w:val="00073A26"/>
    <w:rsid w:val="00084040"/>
    <w:rsid w:val="00091369"/>
    <w:rsid w:val="000944FA"/>
    <w:rsid w:val="000A266D"/>
    <w:rsid w:val="000A3763"/>
    <w:rsid w:val="000B3E03"/>
    <w:rsid w:val="000B3FA4"/>
    <w:rsid w:val="000C22D6"/>
    <w:rsid w:val="000C2D3F"/>
    <w:rsid w:val="000C4F8C"/>
    <w:rsid w:val="000D1BC7"/>
    <w:rsid w:val="000D1E7F"/>
    <w:rsid w:val="000D7824"/>
    <w:rsid w:val="000E123E"/>
    <w:rsid w:val="000E3B9B"/>
    <w:rsid w:val="000E4AC6"/>
    <w:rsid w:val="000E4B1E"/>
    <w:rsid w:val="000E5C26"/>
    <w:rsid w:val="000E6FD3"/>
    <w:rsid w:val="000E7AED"/>
    <w:rsid w:val="0010063A"/>
    <w:rsid w:val="00100F2B"/>
    <w:rsid w:val="0010123A"/>
    <w:rsid w:val="001043E5"/>
    <w:rsid w:val="00107ED1"/>
    <w:rsid w:val="00111930"/>
    <w:rsid w:val="00115736"/>
    <w:rsid w:val="00120989"/>
    <w:rsid w:val="00120BAD"/>
    <w:rsid w:val="00120BB6"/>
    <w:rsid w:val="001223A7"/>
    <w:rsid w:val="001253D1"/>
    <w:rsid w:val="001376A4"/>
    <w:rsid w:val="0015407A"/>
    <w:rsid w:val="00156CBB"/>
    <w:rsid w:val="00160F5B"/>
    <w:rsid w:val="00171EE2"/>
    <w:rsid w:val="00173172"/>
    <w:rsid w:val="00183CD7"/>
    <w:rsid w:val="00192C21"/>
    <w:rsid w:val="00194E10"/>
    <w:rsid w:val="001A13D7"/>
    <w:rsid w:val="001A15B2"/>
    <w:rsid w:val="001A2C33"/>
    <w:rsid w:val="001A4485"/>
    <w:rsid w:val="001A64A9"/>
    <w:rsid w:val="001C2F92"/>
    <w:rsid w:val="001C58F3"/>
    <w:rsid w:val="001C5C75"/>
    <w:rsid w:val="001C66C5"/>
    <w:rsid w:val="001C69F3"/>
    <w:rsid w:val="001D143D"/>
    <w:rsid w:val="001D2867"/>
    <w:rsid w:val="001D3C19"/>
    <w:rsid w:val="001E0150"/>
    <w:rsid w:val="001E0ADF"/>
    <w:rsid w:val="001E1C52"/>
    <w:rsid w:val="001E2795"/>
    <w:rsid w:val="001E64FF"/>
    <w:rsid w:val="001E717A"/>
    <w:rsid w:val="001F1B0A"/>
    <w:rsid w:val="001F2585"/>
    <w:rsid w:val="001F27E7"/>
    <w:rsid w:val="001F4DED"/>
    <w:rsid w:val="001F5FAD"/>
    <w:rsid w:val="00200601"/>
    <w:rsid w:val="0021223D"/>
    <w:rsid w:val="00212249"/>
    <w:rsid w:val="00214356"/>
    <w:rsid w:val="00214F81"/>
    <w:rsid w:val="00215A0A"/>
    <w:rsid w:val="00216B92"/>
    <w:rsid w:val="00217E36"/>
    <w:rsid w:val="00226B8B"/>
    <w:rsid w:val="00235B67"/>
    <w:rsid w:val="00235F98"/>
    <w:rsid w:val="00237575"/>
    <w:rsid w:val="00240F74"/>
    <w:rsid w:val="002410CE"/>
    <w:rsid w:val="002435F9"/>
    <w:rsid w:val="00244D4F"/>
    <w:rsid w:val="00254802"/>
    <w:rsid w:val="002616BA"/>
    <w:rsid w:val="00264765"/>
    <w:rsid w:val="00270A7B"/>
    <w:rsid w:val="00271062"/>
    <w:rsid w:val="00277831"/>
    <w:rsid w:val="002A0CCA"/>
    <w:rsid w:val="002A0F1A"/>
    <w:rsid w:val="002A3BE3"/>
    <w:rsid w:val="002A530B"/>
    <w:rsid w:val="002B034F"/>
    <w:rsid w:val="002B3E88"/>
    <w:rsid w:val="002B5D0A"/>
    <w:rsid w:val="002B73E5"/>
    <w:rsid w:val="002C1C76"/>
    <w:rsid w:val="002C5CFD"/>
    <w:rsid w:val="002C64BA"/>
    <w:rsid w:val="002D3985"/>
    <w:rsid w:val="002D4842"/>
    <w:rsid w:val="002D5587"/>
    <w:rsid w:val="002D711E"/>
    <w:rsid w:val="002E1803"/>
    <w:rsid w:val="002E7ED8"/>
    <w:rsid w:val="002F3D5D"/>
    <w:rsid w:val="003127AE"/>
    <w:rsid w:val="00313533"/>
    <w:rsid w:val="00315A55"/>
    <w:rsid w:val="00315B3A"/>
    <w:rsid w:val="0032454B"/>
    <w:rsid w:val="00324AB8"/>
    <w:rsid w:val="00326131"/>
    <w:rsid w:val="00341083"/>
    <w:rsid w:val="00342C56"/>
    <w:rsid w:val="00342FB5"/>
    <w:rsid w:val="00354394"/>
    <w:rsid w:val="00360195"/>
    <w:rsid w:val="00366A67"/>
    <w:rsid w:val="00373E5C"/>
    <w:rsid w:val="00374D13"/>
    <w:rsid w:val="0038042C"/>
    <w:rsid w:val="00386E83"/>
    <w:rsid w:val="003926F0"/>
    <w:rsid w:val="003A481E"/>
    <w:rsid w:val="003A49EB"/>
    <w:rsid w:val="003A78FD"/>
    <w:rsid w:val="003B16FB"/>
    <w:rsid w:val="003B1737"/>
    <w:rsid w:val="003B382B"/>
    <w:rsid w:val="003D222B"/>
    <w:rsid w:val="003D2AEE"/>
    <w:rsid w:val="003D3959"/>
    <w:rsid w:val="003D4972"/>
    <w:rsid w:val="003D5BB6"/>
    <w:rsid w:val="003D7378"/>
    <w:rsid w:val="003E4BC0"/>
    <w:rsid w:val="003E4CF8"/>
    <w:rsid w:val="003F0E16"/>
    <w:rsid w:val="00411C2F"/>
    <w:rsid w:val="00415C95"/>
    <w:rsid w:val="00417726"/>
    <w:rsid w:val="004202D4"/>
    <w:rsid w:val="004216B3"/>
    <w:rsid w:val="00424AB7"/>
    <w:rsid w:val="0042638F"/>
    <w:rsid w:val="0042791D"/>
    <w:rsid w:val="0043457D"/>
    <w:rsid w:val="00434AD8"/>
    <w:rsid w:val="00434C80"/>
    <w:rsid w:val="00436FAE"/>
    <w:rsid w:val="00441324"/>
    <w:rsid w:val="00444C76"/>
    <w:rsid w:val="00452651"/>
    <w:rsid w:val="0045534B"/>
    <w:rsid w:val="00457D92"/>
    <w:rsid w:val="00463C67"/>
    <w:rsid w:val="004736B1"/>
    <w:rsid w:val="00475CCF"/>
    <w:rsid w:val="00491C37"/>
    <w:rsid w:val="0049252A"/>
    <w:rsid w:val="00493D21"/>
    <w:rsid w:val="004A647A"/>
    <w:rsid w:val="004B2387"/>
    <w:rsid w:val="004B4A57"/>
    <w:rsid w:val="004C0088"/>
    <w:rsid w:val="004C49C8"/>
    <w:rsid w:val="004C5BE5"/>
    <w:rsid w:val="004C6C37"/>
    <w:rsid w:val="004C79EC"/>
    <w:rsid w:val="004D117D"/>
    <w:rsid w:val="004D3271"/>
    <w:rsid w:val="004E12B7"/>
    <w:rsid w:val="004E52A0"/>
    <w:rsid w:val="004F2913"/>
    <w:rsid w:val="004F68B2"/>
    <w:rsid w:val="004F7E83"/>
    <w:rsid w:val="0050002B"/>
    <w:rsid w:val="00502E61"/>
    <w:rsid w:val="00512B92"/>
    <w:rsid w:val="00515998"/>
    <w:rsid w:val="00521B48"/>
    <w:rsid w:val="00522C64"/>
    <w:rsid w:val="005249AA"/>
    <w:rsid w:val="0052618A"/>
    <w:rsid w:val="0053015C"/>
    <w:rsid w:val="00547081"/>
    <w:rsid w:val="0055239A"/>
    <w:rsid w:val="005528B4"/>
    <w:rsid w:val="00554D3E"/>
    <w:rsid w:val="00557B29"/>
    <w:rsid w:val="00560069"/>
    <w:rsid w:val="0057134F"/>
    <w:rsid w:val="00575203"/>
    <w:rsid w:val="00577532"/>
    <w:rsid w:val="00585D84"/>
    <w:rsid w:val="005867B7"/>
    <w:rsid w:val="00593FF3"/>
    <w:rsid w:val="005A4075"/>
    <w:rsid w:val="005A7746"/>
    <w:rsid w:val="005B03A8"/>
    <w:rsid w:val="005C0758"/>
    <w:rsid w:val="005C469C"/>
    <w:rsid w:val="005C4722"/>
    <w:rsid w:val="005C5C15"/>
    <w:rsid w:val="005C635A"/>
    <w:rsid w:val="005C795B"/>
    <w:rsid w:val="005D6747"/>
    <w:rsid w:val="005D6D55"/>
    <w:rsid w:val="005E1CFA"/>
    <w:rsid w:val="005E3CB2"/>
    <w:rsid w:val="005E64A2"/>
    <w:rsid w:val="005E6CF0"/>
    <w:rsid w:val="005F3998"/>
    <w:rsid w:val="005F63A5"/>
    <w:rsid w:val="00602B71"/>
    <w:rsid w:val="00610240"/>
    <w:rsid w:val="00614CA5"/>
    <w:rsid w:val="00617D50"/>
    <w:rsid w:val="006277B2"/>
    <w:rsid w:val="00633BBB"/>
    <w:rsid w:val="0064258E"/>
    <w:rsid w:val="006440EF"/>
    <w:rsid w:val="00644918"/>
    <w:rsid w:val="00645F6C"/>
    <w:rsid w:val="006632F3"/>
    <w:rsid w:val="0066744D"/>
    <w:rsid w:val="00672213"/>
    <w:rsid w:val="0067367F"/>
    <w:rsid w:val="00683737"/>
    <w:rsid w:val="00690483"/>
    <w:rsid w:val="00695A1D"/>
    <w:rsid w:val="006A5AE8"/>
    <w:rsid w:val="006B64E8"/>
    <w:rsid w:val="006B6D80"/>
    <w:rsid w:val="006C44F8"/>
    <w:rsid w:val="006C6336"/>
    <w:rsid w:val="006D0577"/>
    <w:rsid w:val="006E2959"/>
    <w:rsid w:val="006E513F"/>
    <w:rsid w:val="006F09F9"/>
    <w:rsid w:val="006F29BE"/>
    <w:rsid w:val="006F442D"/>
    <w:rsid w:val="006F4818"/>
    <w:rsid w:val="006F4B72"/>
    <w:rsid w:val="006F7CED"/>
    <w:rsid w:val="00703926"/>
    <w:rsid w:val="00714FDB"/>
    <w:rsid w:val="007158B7"/>
    <w:rsid w:val="00735DCC"/>
    <w:rsid w:val="00742647"/>
    <w:rsid w:val="0074789C"/>
    <w:rsid w:val="0075131B"/>
    <w:rsid w:val="00751791"/>
    <w:rsid w:val="0075345F"/>
    <w:rsid w:val="0076712B"/>
    <w:rsid w:val="007729FB"/>
    <w:rsid w:val="00773B66"/>
    <w:rsid w:val="00776D86"/>
    <w:rsid w:val="007816DE"/>
    <w:rsid w:val="0079383E"/>
    <w:rsid w:val="007940BF"/>
    <w:rsid w:val="00795374"/>
    <w:rsid w:val="007A439B"/>
    <w:rsid w:val="007A581E"/>
    <w:rsid w:val="007A70B9"/>
    <w:rsid w:val="007A7843"/>
    <w:rsid w:val="007B160C"/>
    <w:rsid w:val="007B1BF9"/>
    <w:rsid w:val="007B2F3E"/>
    <w:rsid w:val="007B37D2"/>
    <w:rsid w:val="007C1714"/>
    <w:rsid w:val="007C1BFF"/>
    <w:rsid w:val="007C2091"/>
    <w:rsid w:val="007C682B"/>
    <w:rsid w:val="007D194C"/>
    <w:rsid w:val="007D2ED5"/>
    <w:rsid w:val="007D57DE"/>
    <w:rsid w:val="007D617F"/>
    <w:rsid w:val="007D6342"/>
    <w:rsid w:val="007E4D37"/>
    <w:rsid w:val="007E7212"/>
    <w:rsid w:val="007E7F08"/>
    <w:rsid w:val="007F3C1B"/>
    <w:rsid w:val="007F636C"/>
    <w:rsid w:val="0080080A"/>
    <w:rsid w:val="00800D2B"/>
    <w:rsid w:val="008078AF"/>
    <w:rsid w:val="00810AD3"/>
    <w:rsid w:val="00812975"/>
    <w:rsid w:val="00815D7B"/>
    <w:rsid w:val="00821363"/>
    <w:rsid w:val="008226B2"/>
    <w:rsid w:val="00822812"/>
    <w:rsid w:val="00823FD1"/>
    <w:rsid w:val="00824EA8"/>
    <w:rsid w:val="00827C33"/>
    <w:rsid w:val="008304A5"/>
    <w:rsid w:val="00830581"/>
    <w:rsid w:val="00830FAB"/>
    <w:rsid w:val="00831889"/>
    <w:rsid w:val="00832A60"/>
    <w:rsid w:val="00836A9A"/>
    <w:rsid w:val="00841C97"/>
    <w:rsid w:val="008463DD"/>
    <w:rsid w:val="0084776D"/>
    <w:rsid w:val="00855709"/>
    <w:rsid w:val="008608D3"/>
    <w:rsid w:val="00861C16"/>
    <w:rsid w:val="0086241D"/>
    <w:rsid w:val="00867DF2"/>
    <w:rsid w:val="0087245E"/>
    <w:rsid w:val="00874561"/>
    <w:rsid w:val="00874B9E"/>
    <w:rsid w:val="00885692"/>
    <w:rsid w:val="0088579C"/>
    <w:rsid w:val="0089525B"/>
    <w:rsid w:val="008A0BBA"/>
    <w:rsid w:val="008A5A98"/>
    <w:rsid w:val="008B2162"/>
    <w:rsid w:val="008B2A7F"/>
    <w:rsid w:val="008B469C"/>
    <w:rsid w:val="008B549B"/>
    <w:rsid w:val="008B76CB"/>
    <w:rsid w:val="008C10C5"/>
    <w:rsid w:val="008C4490"/>
    <w:rsid w:val="008C4505"/>
    <w:rsid w:val="008C75BD"/>
    <w:rsid w:val="008D3ED8"/>
    <w:rsid w:val="008E0B30"/>
    <w:rsid w:val="008E59C9"/>
    <w:rsid w:val="008E632B"/>
    <w:rsid w:val="008E7194"/>
    <w:rsid w:val="008F5532"/>
    <w:rsid w:val="009011C2"/>
    <w:rsid w:val="009027C8"/>
    <w:rsid w:val="009112EF"/>
    <w:rsid w:val="00925394"/>
    <w:rsid w:val="009275A0"/>
    <w:rsid w:val="0093124E"/>
    <w:rsid w:val="00931B60"/>
    <w:rsid w:val="0093461E"/>
    <w:rsid w:val="0093795E"/>
    <w:rsid w:val="00941944"/>
    <w:rsid w:val="0095106C"/>
    <w:rsid w:val="0095139D"/>
    <w:rsid w:val="00960316"/>
    <w:rsid w:val="00961CD3"/>
    <w:rsid w:val="009777A0"/>
    <w:rsid w:val="0098212A"/>
    <w:rsid w:val="009862E5"/>
    <w:rsid w:val="009865D3"/>
    <w:rsid w:val="00987F02"/>
    <w:rsid w:val="00995B41"/>
    <w:rsid w:val="009A5B18"/>
    <w:rsid w:val="009C1628"/>
    <w:rsid w:val="009C1997"/>
    <w:rsid w:val="009C226A"/>
    <w:rsid w:val="009C3672"/>
    <w:rsid w:val="009C3B76"/>
    <w:rsid w:val="009D293E"/>
    <w:rsid w:val="009D3685"/>
    <w:rsid w:val="009D39C2"/>
    <w:rsid w:val="009D6638"/>
    <w:rsid w:val="009E6197"/>
    <w:rsid w:val="009F3898"/>
    <w:rsid w:val="009F3C80"/>
    <w:rsid w:val="00A07DCC"/>
    <w:rsid w:val="00A126D4"/>
    <w:rsid w:val="00A12A98"/>
    <w:rsid w:val="00A22BA8"/>
    <w:rsid w:val="00A27C12"/>
    <w:rsid w:val="00A3544E"/>
    <w:rsid w:val="00A40F67"/>
    <w:rsid w:val="00A434B8"/>
    <w:rsid w:val="00A47A29"/>
    <w:rsid w:val="00A50824"/>
    <w:rsid w:val="00A54442"/>
    <w:rsid w:val="00A62DC6"/>
    <w:rsid w:val="00A63801"/>
    <w:rsid w:val="00A651EB"/>
    <w:rsid w:val="00A72F98"/>
    <w:rsid w:val="00A76175"/>
    <w:rsid w:val="00A76622"/>
    <w:rsid w:val="00A76DBC"/>
    <w:rsid w:val="00A800BA"/>
    <w:rsid w:val="00A81633"/>
    <w:rsid w:val="00A82494"/>
    <w:rsid w:val="00A9511F"/>
    <w:rsid w:val="00A96201"/>
    <w:rsid w:val="00AA4871"/>
    <w:rsid w:val="00AA4A8F"/>
    <w:rsid w:val="00AA6E9B"/>
    <w:rsid w:val="00AB2826"/>
    <w:rsid w:val="00AB312C"/>
    <w:rsid w:val="00AB3730"/>
    <w:rsid w:val="00AB63B2"/>
    <w:rsid w:val="00AB7454"/>
    <w:rsid w:val="00AB7641"/>
    <w:rsid w:val="00AB77DF"/>
    <w:rsid w:val="00AC1111"/>
    <w:rsid w:val="00AC1B2D"/>
    <w:rsid w:val="00AC1D6F"/>
    <w:rsid w:val="00AD33B1"/>
    <w:rsid w:val="00AD4589"/>
    <w:rsid w:val="00AD598F"/>
    <w:rsid w:val="00AD73F1"/>
    <w:rsid w:val="00B028F9"/>
    <w:rsid w:val="00B02A3B"/>
    <w:rsid w:val="00B108A5"/>
    <w:rsid w:val="00B1230B"/>
    <w:rsid w:val="00B13745"/>
    <w:rsid w:val="00B1738C"/>
    <w:rsid w:val="00B234D9"/>
    <w:rsid w:val="00B23D13"/>
    <w:rsid w:val="00B23F0E"/>
    <w:rsid w:val="00B24C8E"/>
    <w:rsid w:val="00B256E6"/>
    <w:rsid w:val="00B30353"/>
    <w:rsid w:val="00B3342E"/>
    <w:rsid w:val="00B34ED2"/>
    <w:rsid w:val="00B35601"/>
    <w:rsid w:val="00B37404"/>
    <w:rsid w:val="00B407BA"/>
    <w:rsid w:val="00B41A08"/>
    <w:rsid w:val="00B41A42"/>
    <w:rsid w:val="00B46583"/>
    <w:rsid w:val="00B470D6"/>
    <w:rsid w:val="00B47394"/>
    <w:rsid w:val="00B5015A"/>
    <w:rsid w:val="00B51195"/>
    <w:rsid w:val="00B51F82"/>
    <w:rsid w:val="00B521B9"/>
    <w:rsid w:val="00B52A4A"/>
    <w:rsid w:val="00B532CF"/>
    <w:rsid w:val="00B6039D"/>
    <w:rsid w:val="00B63141"/>
    <w:rsid w:val="00B632F9"/>
    <w:rsid w:val="00B738EA"/>
    <w:rsid w:val="00B81339"/>
    <w:rsid w:val="00B86ACD"/>
    <w:rsid w:val="00B92410"/>
    <w:rsid w:val="00BA16B0"/>
    <w:rsid w:val="00BA5B75"/>
    <w:rsid w:val="00BB199C"/>
    <w:rsid w:val="00BB4D5D"/>
    <w:rsid w:val="00BB5055"/>
    <w:rsid w:val="00BB59F6"/>
    <w:rsid w:val="00BB5BE7"/>
    <w:rsid w:val="00BC6581"/>
    <w:rsid w:val="00BC79A2"/>
    <w:rsid w:val="00BD1541"/>
    <w:rsid w:val="00BD4CA6"/>
    <w:rsid w:val="00BE061E"/>
    <w:rsid w:val="00BE148B"/>
    <w:rsid w:val="00BE42F7"/>
    <w:rsid w:val="00BE477C"/>
    <w:rsid w:val="00BF31E7"/>
    <w:rsid w:val="00BF3221"/>
    <w:rsid w:val="00BF3A2D"/>
    <w:rsid w:val="00C01C0E"/>
    <w:rsid w:val="00C06006"/>
    <w:rsid w:val="00C113BB"/>
    <w:rsid w:val="00C130A6"/>
    <w:rsid w:val="00C14864"/>
    <w:rsid w:val="00C1502E"/>
    <w:rsid w:val="00C15085"/>
    <w:rsid w:val="00C15FB1"/>
    <w:rsid w:val="00C17E57"/>
    <w:rsid w:val="00C228DE"/>
    <w:rsid w:val="00C3275E"/>
    <w:rsid w:val="00C44CA1"/>
    <w:rsid w:val="00C45562"/>
    <w:rsid w:val="00C476EA"/>
    <w:rsid w:val="00C52A0C"/>
    <w:rsid w:val="00C61AD8"/>
    <w:rsid w:val="00C63E78"/>
    <w:rsid w:val="00C6431B"/>
    <w:rsid w:val="00C662DD"/>
    <w:rsid w:val="00C70642"/>
    <w:rsid w:val="00C72F53"/>
    <w:rsid w:val="00C73AF9"/>
    <w:rsid w:val="00C74BAD"/>
    <w:rsid w:val="00C81001"/>
    <w:rsid w:val="00C8284B"/>
    <w:rsid w:val="00C82F2B"/>
    <w:rsid w:val="00C86DF3"/>
    <w:rsid w:val="00C91863"/>
    <w:rsid w:val="00C931B8"/>
    <w:rsid w:val="00C9464C"/>
    <w:rsid w:val="00C94C90"/>
    <w:rsid w:val="00CA251B"/>
    <w:rsid w:val="00CA61E0"/>
    <w:rsid w:val="00CB4A1B"/>
    <w:rsid w:val="00CB4B2E"/>
    <w:rsid w:val="00CC303B"/>
    <w:rsid w:val="00CC389F"/>
    <w:rsid w:val="00CC6C93"/>
    <w:rsid w:val="00CD0F52"/>
    <w:rsid w:val="00CD359B"/>
    <w:rsid w:val="00CD3B2C"/>
    <w:rsid w:val="00CD5050"/>
    <w:rsid w:val="00CD737E"/>
    <w:rsid w:val="00CE2BA7"/>
    <w:rsid w:val="00CF2B9B"/>
    <w:rsid w:val="00D0057D"/>
    <w:rsid w:val="00D00CBA"/>
    <w:rsid w:val="00D03286"/>
    <w:rsid w:val="00D10D2F"/>
    <w:rsid w:val="00D16AFC"/>
    <w:rsid w:val="00D23CC0"/>
    <w:rsid w:val="00D305FA"/>
    <w:rsid w:val="00D343D3"/>
    <w:rsid w:val="00D3542D"/>
    <w:rsid w:val="00D371EB"/>
    <w:rsid w:val="00D37844"/>
    <w:rsid w:val="00D40254"/>
    <w:rsid w:val="00D42988"/>
    <w:rsid w:val="00D42A63"/>
    <w:rsid w:val="00D5098C"/>
    <w:rsid w:val="00D558A7"/>
    <w:rsid w:val="00D63D7C"/>
    <w:rsid w:val="00D66669"/>
    <w:rsid w:val="00D74419"/>
    <w:rsid w:val="00D805DE"/>
    <w:rsid w:val="00D814B8"/>
    <w:rsid w:val="00D83088"/>
    <w:rsid w:val="00D911FC"/>
    <w:rsid w:val="00D92A53"/>
    <w:rsid w:val="00DA4BFC"/>
    <w:rsid w:val="00DA5FCB"/>
    <w:rsid w:val="00DA7326"/>
    <w:rsid w:val="00DA73F4"/>
    <w:rsid w:val="00DB0F4C"/>
    <w:rsid w:val="00DB5688"/>
    <w:rsid w:val="00DD04DC"/>
    <w:rsid w:val="00DD4B11"/>
    <w:rsid w:val="00DD6A01"/>
    <w:rsid w:val="00DD7D5F"/>
    <w:rsid w:val="00DE12EC"/>
    <w:rsid w:val="00DE3425"/>
    <w:rsid w:val="00DE3D40"/>
    <w:rsid w:val="00DE3D9F"/>
    <w:rsid w:val="00DE5592"/>
    <w:rsid w:val="00DE7D43"/>
    <w:rsid w:val="00DF2710"/>
    <w:rsid w:val="00E01D97"/>
    <w:rsid w:val="00E06A2B"/>
    <w:rsid w:val="00E1049C"/>
    <w:rsid w:val="00E11405"/>
    <w:rsid w:val="00E11BEA"/>
    <w:rsid w:val="00E12A64"/>
    <w:rsid w:val="00E13BE5"/>
    <w:rsid w:val="00E223C1"/>
    <w:rsid w:val="00E24FF7"/>
    <w:rsid w:val="00E30215"/>
    <w:rsid w:val="00E309D9"/>
    <w:rsid w:val="00E325C3"/>
    <w:rsid w:val="00E35175"/>
    <w:rsid w:val="00E46A7D"/>
    <w:rsid w:val="00E56279"/>
    <w:rsid w:val="00E60D9A"/>
    <w:rsid w:val="00E63AD9"/>
    <w:rsid w:val="00E664D3"/>
    <w:rsid w:val="00E70F0F"/>
    <w:rsid w:val="00E713CB"/>
    <w:rsid w:val="00E76152"/>
    <w:rsid w:val="00E76B42"/>
    <w:rsid w:val="00E81E90"/>
    <w:rsid w:val="00E85F23"/>
    <w:rsid w:val="00E91535"/>
    <w:rsid w:val="00E9163C"/>
    <w:rsid w:val="00E91D11"/>
    <w:rsid w:val="00E95402"/>
    <w:rsid w:val="00EA6B79"/>
    <w:rsid w:val="00EB2302"/>
    <w:rsid w:val="00EB26E5"/>
    <w:rsid w:val="00EB4D6F"/>
    <w:rsid w:val="00EB5BA4"/>
    <w:rsid w:val="00EB6AB1"/>
    <w:rsid w:val="00EC4B3E"/>
    <w:rsid w:val="00ED1104"/>
    <w:rsid w:val="00ED12E6"/>
    <w:rsid w:val="00ED43A7"/>
    <w:rsid w:val="00EF00E3"/>
    <w:rsid w:val="00EF6C94"/>
    <w:rsid w:val="00EF73B6"/>
    <w:rsid w:val="00F02052"/>
    <w:rsid w:val="00F063E5"/>
    <w:rsid w:val="00F11AE9"/>
    <w:rsid w:val="00F32D79"/>
    <w:rsid w:val="00F36755"/>
    <w:rsid w:val="00F4066C"/>
    <w:rsid w:val="00F571CD"/>
    <w:rsid w:val="00F6617B"/>
    <w:rsid w:val="00F66813"/>
    <w:rsid w:val="00F734FB"/>
    <w:rsid w:val="00F749B5"/>
    <w:rsid w:val="00F80A21"/>
    <w:rsid w:val="00F84FAB"/>
    <w:rsid w:val="00F878F9"/>
    <w:rsid w:val="00F931ED"/>
    <w:rsid w:val="00FA235E"/>
    <w:rsid w:val="00FB05F0"/>
    <w:rsid w:val="00FB7137"/>
    <w:rsid w:val="00FD1634"/>
    <w:rsid w:val="00FE05F6"/>
    <w:rsid w:val="00FE50E4"/>
    <w:rsid w:val="00FE731C"/>
    <w:rsid w:val="00FE7931"/>
    <w:rsid w:val="00FF0B73"/>
    <w:rsid w:val="00FF42DF"/>
    <w:rsid w:val="00FF5B25"/>
    <w:rsid w:val="00FF6C45"/>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1859"/>
  <w15:docId w15:val="{CD81535C-A722-4E31-87CC-6557733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4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456"/>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NagwekZnak">
    <w:name w:val="Nagłówek Znak"/>
    <w:basedOn w:val="Domylnaczcionkaakapitu"/>
    <w:link w:val="Nagwek"/>
    <w:uiPriority w:val="99"/>
    <w:rsid w:val="00032456"/>
    <w:rPr>
      <w:lang w:val="en-GB"/>
    </w:rPr>
  </w:style>
  <w:style w:type="paragraph" w:customStyle="1" w:styleId="TEXTONORMAL">
    <w:name w:val="TEXTO NORMAL"/>
    <w:basedOn w:val="Normalny"/>
    <w:next w:val="Normalny"/>
    <w:rsid w:val="00032456"/>
    <w:pPr>
      <w:spacing w:line="276" w:lineRule="auto"/>
    </w:pPr>
    <w:rPr>
      <w:rFonts w:ascii="BesSans" w:eastAsia="Calibri" w:hAnsi="BesSans"/>
      <w:sz w:val="20"/>
      <w:szCs w:val="20"/>
      <w:lang w:val="en-US" w:eastAsia="en-US"/>
    </w:rPr>
  </w:style>
  <w:style w:type="paragraph" w:customStyle="1" w:styleId="Default">
    <w:name w:val="Default"/>
    <w:rsid w:val="00032456"/>
    <w:pPr>
      <w:autoSpaceDE w:val="0"/>
      <w:autoSpaceDN w:val="0"/>
      <w:adjustRightInd w:val="0"/>
      <w:spacing w:after="0" w:line="240" w:lineRule="auto"/>
    </w:pPr>
    <w:rPr>
      <w:rFonts w:ascii="Gotham Bold" w:hAnsi="Gotham Bold" w:cs="Gotham Bold"/>
      <w:color w:val="000000"/>
      <w:sz w:val="24"/>
      <w:szCs w:val="24"/>
    </w:rPr>
  </w:style>
  <w:style w:type="character" w:styleId="Odwoaniedokomentarza">
    <w:name w:val="annotation reference"/>
    <w:basedOn w:val="Domylnaczcionkaakapitu"/>
    <w:uiPriority w:val="99"/>
    <w:semiHidden/>
    <w:unhideWhenUsed/>
    <w:rsid w:val="00D3542D"/>
    <w:rPr>
      <w:sz w:val="16"/>
      <w:szCs w:val="16"/>
    </w:rPr>
  </w:style>
  <w:style w:type="paragraph" w:styleId="Tekstkomentarza">
    <w:name w:val="annotation text"/>
    <w:basedOn w:val="Normalny"/>
    <w:link w:val="TekstkomentarzaZnak"/>
    <w:uiPriority w:val="99"/>
    <w:semiHidden/>
    <w:unhideWhenUsed/>
    <w:rsid w:val="00D3542D"/>
    <w:rPr>
      <w:sz w:val="20"/>
      <w:szCs w:val="20"/>
    </w:rPr>
  </w:style>
  <w:style w:type="character" w:customStyle="1" w:styleId="TekstkomentarzaZnak">
    <w:name w:val="Tekst komentarza Znak"/>
    <w:basedOn w:val="Domylnaczcionkaakapitu"/>
    <w:link w:val="Tekstkomentarza"/>
    <w:uiPriority w:val="99"/>
    <w:semiHidden/>
    <w:rsid w:val="00D354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42D"/>
    <w:rPr>
      <w:b/>
      <w:bCs/>
    </w:rPr>
  </w:style>
  <w:style w:type="character" w:customStyle="1" w:styleId="TematkomentarzaZnak">
    <w:name w:val="Temat komentarza Znak"/>
    <w:basedOn w:val="TekstkomentarzaZnak"/>
    <w:link w:val="Tematkomentarza"/>
    <w:uiPriority w:val="99"/>
    <w:semiHidden/>
    <w:rsid w:val="00D3542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4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42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3926F0"/>
    <w:rPr>
      <w:sz w:val="20"/>
      <w:szCs w:val="20"/>
    </w:rPr>
  </w:style>
  <w:style w:type="character" w:customStyle="1" w:styleId="TekstprzypisukocowegoZnak">
    <w:name w:val="Tekst przypisu końcowego Znak"/>
    <w:basedOn w:val="Domylnaczcionkaakapitu"/>
    <w:link w:val="Tekstprzypisukocowego"/>
    <w:uiPriority w:val="99"/>
    <w:semiHidden/>
    <w:rsid w:val="003926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926F0"/>
    <w:rPr>
      <w:vertAlign w:val="superscript"/>
    </w:rPr>
  </w:style>
  <w:style w:type="paragraph" w:styleId="Stopka">
    <w:name w:val="footer"/>
    <w:basedOn w:val="Normalny"/>
    <w:link w:val="StopkaZnak"/>
    <w:uiPriority w:val="99"/>
    <w:unhideWhenUsed/>
    <w:rsid w:val="00B3342E"/>
    <w:pPr>
      <w:tabs>
        <w:tab w:val="center" w:pos="4536"/>
        <w:tab w:val="right" w:pos="9072"/>
      </w:tabs>
    </w:pPr>
  </w:style>
  <w:style w:type="character" w:customStyle="1" w:styleId="StopkaZnak">
    <w:name w:val="Stopka Znak"/>
    <w:basedOn w:val="Domylnaczcionkaakapitu"/>
    <w:link w:val="Stopka"/>
    <w:uiPriority w:val="99"/>
    <w:rsid w:val="00B334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4498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Wappa</dc:creator>
  <cp:lastModifiedBy>Barbara Pogodzinska</cp:lastModifiedBy>
  <cp:revision>2</cp:revision>
  <dcterms:created xsi:type="dcterms:W3CDTF">2021-10-11T08:35:00Z</dcterms:created>
  <dcterms:modified xsi:type="dcterms:W3CDTF">2021-10-11T08:35:00Z</dcterms:modified>
</cp:coreProperties>
</file>