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B3" w:rsidRPr="00065E09" w:rsidRDefault="007E10B3" w:rsidP="007E10B3">
      <w:pPr>
        <w:pStyle w:val="TEXTONORMAL"/>
        <w:spacing w:line="360" w:lineRule="auto"/>
        <w:rPr>
          <w:rFonts w:asciiTheme="minorHAnsi" w:eastAsiaTheme="minorHAnsi" w:hAnsiTheme="minorHAnsi" w:cstheme="minorBidi"/>
          <w:bCs/>
          <w:sz w:val="24"/>
          <w:szCs w:val="24"/>
        </w:rPr>
      </w:pPr>
    </w:p>
    <w:p w:rsidR="00CB1C2F" w:rsidRPr="00E2027D" w:rsidRDefault="009A7FE4" w:rsidP="00374DCD">
      <w:pPr>
        <w:jc w:val="both"/>
        <w:rPr>
          <w:rFonts w:asciiTheme="minorHAnsi" w:hAnsiTheme="minorHAnsi"/>
          <w:bCs/>
          <w:i/>
          <w:sz w:val="20"/>
          <w:szCs w:val="22"/>
          <w:lang w:val="en-US"/>
        </w:rPr>
      </w:pPr>
      <w:r w:rsidRPr="00E2027D">
        <w:rPr>
          <w:rFonts w:asciiTheme="minorHAnsi" w:hAnsiTheme="minorHAnsi"/>
          <w:bCs/>
          <w:i/>
          <w:sz w:val="20"/>
          <w:szCs w:val="22"/>
          <w:lang w:val="en-US"/>
        </w:rPr>
        <w:t>Wars</w:t>
      </w:r>
      <w:r w:rsidR="00C2383E" w:rsidRPr="00E2027D">
        <w:rPr>
          <w:rFonts w:asciiTheme="minorHAnsi" w:hAnsiTheme="minorHAnsi"/>
          <w:bCs/>
          <w:i/>
          <w:sz w:val="20"/>
          <w:szCs w:val="22"/>
          <w:lang w:val="en-US"/>
        </w:rPr>
        <w:t>aw</w:t>
      </w:r>
      <w:r w:rsidR="00BA0E54">
        <w:rPr>
          <w:rFonts w:asciiTheme="minorHAnsi" w:hAnsiTheme="minorHAnsi"/>
          <w:bCs/>
          <w:i/>
          <w:sz w:val="20"/>
          <w:szCs w:val="22"/>
          <w:lang w:val="en-US"/>
        </w:rPr>
        <w:t>,</w:t>
      </w:r>
      <w:r w:rsidR="00BA0E54" w:rsidRPr="00BA0E54">
        <w:rPr>
          <w:rFonts w:asciiTheme="minorHAnsi" w:hAnsiTheme="minorHAnsi"/>
          <w:bCs/>
          <w:i/>
          <w:sz w:val="20"/>
          <w:szCs w:val="22"/>
          <w:lang w:val="en-US"/>
        </w:rPr>
        <w:t xml:space="preserve"> </w:t>
      </w:r>
      <w:r w:rsidR="00906985">
        <w:rPr>
          <w:rFonts w:asciiTheme="minorHAnsi" w:hAnsiTheme="minorHAnsi"/>
          <w:bCs/>
          <w:i/>
          <w:sz w:val="20"/>
          <w:szCs w:val="22"/>
          <w:lang w:val="en-US"/>
        </w:rPr>
        <w:t xml:space="preserve">May </w:t>
      </w:r>
      <w:r w:rsidR="00302E34">
        <w:rPr>
          <w:rFonts w:asciiTheme="minorHAnsi" w:hAnsiTheme="minorHAnsi"/>
          <w:bCs/>
          <w:i/>
          <w:sz w:val="20"/>
          <w:szCs w:val="22"/>
          <w:lang w:val="en-US"/>
        </w:rPr>
        <w:t>30</w:t>
      </w:r>
      <w:r w:rsidR="00BA0E54">
        <w:rPr>
          <w:rFonts w:asciiTheme="minorHAnsi" w:hAnsiTheme="minorHAnsi"/>
          <w:bCs/>
          <w:i/>
          <w:sz w:val="20"/>
          <w:szCs w:val="22"/>
          <w:lang w:val="en-US"/>
        </w:rPr>
        <w:t>, 201</w:t>
      </w:r>
      <w:r w:rsidR="0042532A">
        <w:rPr>
          <w:rFonts w:asciiTheme="minorHAnsi" w:hAnsiTheme="minorHAnsi"/>
          <w:bCs/>
          <w:i/>
          <w:sz w:val="20"/>
          <w:szCs w:val="22"/>
          <w:lang w:val="en-US"/>
        </w:rPr>
        <w:t>9</w:t>
      </w:r>
    </w:p>
    <w:p w:rsidR="00307025" w:rsidRPr="00F91E16" w:rsidRDefault="00307025" w:rsidP="00307025">
      <w:pPr>
        <w:autoSpaceDE w:val="0"/>
        <w:autoSpaceDN w:val="0"/>
        <w:adjustRightInd w:val="0"/>
        <w:rPr>
          <w:rFonts w:ascii="Gotham Book" w:eastAsiaTheme="minorHAnsi" w:hAnsi="Gotham Book" w:cs="Gotham Book"/>
          <w:color w:val="000000"/>
          <w:lang w:val="en-US" w:eastAsia="en-US"/>
        </w:rPr>
      </w:pPr>
      <w:bookmarkStart w:id="0" w:name="_Hlk505237027"/>
      <w:bookmarkStart w:id="1" w:name="_GoBack"/>
      <w:bookmarkEnd w:id="1"/>
    </w:p>
    <w:p w:rsidR="00307025" w:rsidRPr="00307025" w:rsidRDefault="00302E34" w:rsidP="00307025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  <w:lang w:val="en-US"/>
        </w:rPr>
      </w:pPr>
      <w:r>
        <w:rPr>
          <w:rFonts w:ascii="Calibri" w:hAnsi="Calibri" w:cs="Calibri"/>
          <w:b/>
          <w:bCs/>
          <w:sz w:val="20"/>
          <w:szCs w:val="22"/>
          <w:lang w:val="en-US"/>
        </w:rPr>
        <w:t xml:space="preserve">Krzysztof </w:t>
      </w:r>
      <w:proofErr w:type="spellStart"/>
      <w:r>
        <w:rPr>
          <w:rFonts w:ascii="Calibri" w:hAnsi="Calibri" w:cs="Calibri"/>
          <w:b/>
          <w:bCs/>
          <w:sz w:val="20"/>
          <w:szCs w:val="22"/>
          <w:lang w:val="en-US"/>
        </w:rPr>
        <w:t>Kozieł</w:t>
      </w:r>
      <w:proofErr w:type="spellEnd"/>
      <w:r w:rsidR="00307025">
        <w:rPr>
          <w:rFonts w:ascii="Calibri" w:hAnsi="Calibri" w:cs="Calibri"/>
          <w:b/>
          <w:bCs/>
          <w:sz w:val="20"/>
          <w:szCs w:val="22"/>
          <w:lang w:val="en-US"/>
        </w:rPr>
        <w:t xml:space="preserve">, </w:t>
      </w:r>
      <w:r w:rsidR="00CE194A">
        <w:rPr>
          <w:rFonts w:ascii="Calibri" w:hAnsi="Calibri" w:cs="Calibri"/>
          <w:b/>
          <w:bCs/>
          <w:sz w:val="20"/>
          <w:szCs w:val="22"/>
          <w:lang w:val="en-US"/>
        </w:rPr>
        <w:t xml:space="preserve">Equity </w:t>
      </w:r>
      <w:r w:rsidR="00307025" w:rsidRPr="00307025">
        <w:rPr>
          <w:rFonts w:ascii="Calibri" w:hAnsi="Calibri" w:cs="Calibri"/>
          <w:b/>
          <w:bCs/>
          <w:sz w:val="20"/>
          <w:szCs w:val="22"/>
          <w:lang w:val="en-US"/>
        </w:rPr>
        <w:t>Research</w:t>
      </w:r>
      <w:r>
        <w:rPr>
          <w:rFonts w:ascii="Calibri" w:hAnsi="Calibri" w:cs="Calibri"/>
          <w:b/>
          <w:bCs/>
          <w:sz w:val="20"/>
          <w:szCs w:val="22"/>
          <w:lang w:val="en-US"/>
        </w:rPr>
        <w:t xml:space="preserve"> Analyst</w:t>
      </w:r>
      <w:r w:rsidR="00307025">
        <w:rPr>
          <w:rFonts w:ascii="Calibri" w:hAnsi="Calibri" w:cs="Calibri"/>
          <w:b/>
          <w:bCs/>
          <w:sz w:val="20"/>
          <w:szCs w:val="22"/>
          <w:lang w:val="en-US"/>
        </w:rPr>
        <w:t>, Haitong Bank</w:t>
      </w:r>
    </w:p>
    <w:bookmarkEnd w:id="0"/>
    <w:p w:rsidR="009C407C" w:rsidRPr="00F90EDE" w:rsidRDefault="009C407C" w:rsidP="009C407C">
      <w:pPr>
        <w:rPr>
          <w:rFonts w:asciiTheme="minorHAnsi" w:eastAsiaTheme="minorHAnsi" w:hAnsiTheme="minorHAnsi" w:cs="Gotham Bold"/>
          <w:bCs/>
          <w:color w:val="000000"/>
          <w:sz w:val="20"/>
          <w:szCs w:val="19"/>
          <w:lang w:val="en-US" w:eastAsia="en-US"/>
        </w:rPr>
      </w:pPr>
    </w:p>
    <w:p w:rsidR="00390CEA" w:rsidRPr="00302E34" w:rsidRDefault="00302E34" w:rsidP="002F7DC8">
      <w:pPr>
        <w:pStyle w:val="Default"/>
        <w:rPr>
          <w:rFonts w:asciiTheme="minorHAnsi" w:hAnsiTheme="minorHAnsi"/>
          <w:bCs/>
          <w:sz w:val="20"/>
          <w:szCs w:val="20"/>
          <w:lang w:val="en-US"/>
        </w:rPr>
      </w:pPr>
      <w:proofErr w:type="spellStart"/>
      <w:r w:rsidRPr="00302E34">
        <w:rPr>
          <w:rFonts w:asciiTheme="minorHAnsi" w:hAnsiTheme="minorHAnsi"/>
          <w:sz w:val="20"/>
          <w:szCs w:val="20"/>
        </w:rPr>
        <w:t>Haitong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Bank in a report from May 29 (08:00)  </w:t>
      </w:r>
      <w:proofErr w:type="spellStart"/>
      <w:r w:rsidRPr="00302E34">
        <w:rPr>
          <w:rFonts w:asciiTheme="minorHAnsi" w:hAnsiTheme="minorHAnsi"/>
          <w:sz w:val="20"/>
          <w:szCs w:val="20"/>
        </w:rPr>
        <w:t>initiates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2E34">
        <w:rPr>
          <w:rFonts w:asciiTheme="minorHAnsi" w:hAnsiTheme="minorHAnsi"/>
          <w:sz w:val="20"/>
          <w:szCs w:val="20"/>
        </w:rPr>
        <w:t>coverage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of PGNiG with a SELL rating and a FV of PLN 5.02. In the </w:t>
      </w:r>
      <w:proofErr w:type="spellStart"/>
      <w:r w:rsidRPr="00302E34">
        <w:rPr>
          <w:rFonts w:asciiTheme="minorHAnsi" w:hAnsiTheme="minorHAnsi"/>
          <w:sz w:val="20"/>
          <w:szCs w:val="20"/>
        </w:rPr>
        <w:t>short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term, </w:t>
      </w:r>
      <w:proofErr w:type="spellStart"/>
      <w:r w:rsidRPr="00302E34">
        <w:rPr>
          <w:rFonts w:asciiTheme="minorHAnsi" w:hAnsiTheme="minorHAnsi"/>
          <w:sz w:val="20"/>
          <w:szCs w:val="20"/>
        </w:rPr>
        <w:t>analysts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2E34">
        <w:rPr>
          <w:rFonts w:asciiTheme="minorHAnsi" w:hAnsiTheme="minorHAnsi"/>
          <w:sz w:val="20"/>
          <w:szCs w:val="20"/>
        </w:rPr>
        <w:t>expect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2E34">
        <w:rPr>
          <w:rFonts w:asciiTheme="minorHAnsi" w:hAnsiTheme="minorHAnsi"/>
          <w:sz w:val="20"/>
          <w:szCs w:val="20"/>
        </w:rPr>
        <w:t>lower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2E34">
        <w:rPr>
          <w:rFonts w:asciiTheme="minorHAnsi" w:hAnsiTheme="minorHAnsi"/>
          <w:sz w:val="20"/>
          <w:szCs w:val="20"/>
        </w:rPr>
        <w:t>natural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2E34">
        <w:rPr>
          <w:rFonts w:asciiTheme="minorHAnsi" w:hAnsiTheme="minorHAnsi"/>
          <w:sz w:val="20"/>
          <w:szCs w:val="20"/>
        </w:rPr>
        <w:t>gas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spot </w:t>
      </w:r>
      <w:proofErr w:type="spellStart"/>
      <w:r w:rsidRPr="00302E34">
        <w:rPr>
          <w:rFonts w:asciiTheme="minorHAnsi" w:hAnsiTheme="minorHAnsi"/>
          <w:sz w:val="20"/>
          <w:szCs w:val="20"/>
        </w:rPr>
        <w:t>prices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302E34">
        <w:rPr>
          <w:rFonts w:asciiTheme="minorHAnsi" w:hAnsiTheme="minorHAnsi"/>
          <w:sz w:val="20"/>
          <w:szCs w:val="20"/>
        </w:rPr>
        <w:t>continue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2E34">
        <w:rPr>
          <w:rFonts w:asciiTheme="minorHAnsi" w:hAnsiTheme="minorHAnsi"/>
          <w:sz w:val="20"/>
          <w:szCs w:val="20"/>
        </w:rPr>
        <w:t>mainly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as a </w:t>
      </w:r>
      <w:proofErr w:type="spellStart"/>
      <w:r w:rsidRPr="00302E34">
        <w:rPr>
          <w:rFonts w:asciiTheme="minorHAnsi" w:hAnsiTheme="minorHAnsi"/>
          <w:sz w:val="20"/>
          <w:szCs w:val="20"/>
        </w:rPr>
        <w:t>result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302E34">
        <w:rPr>
          <w:rFonts w:asciiTheme="minorHAnsi" w:hAnsiTheme="minorHAnsi"/>
          <w:sz w:val="20"/>
          <w:szCs w:val="20"/>
        </w:rPr>
        <w:t>massive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LNG </w:t>
      </w:r>
      <w:proofErr w:type="spellStart"/>
      <w:r w:rsidRPr="00302E34">
        <w:rPr>
          <w:rFonts w:asciiTheme="minorHAnsi" w:hAnsiTheme="minorHAnsi"/>
          <w:sz w:val="20"/>
          <w:szCs w:val="20"/>
        </w:rPr>
        <w:t>capacity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2E34">
        <w:rPr>
          <w:rFonts w:asciiTheme="minorHAnsi" w:hAnsiTheme="minorHAnsi"/>
          <w:sz w:val="20"/>
          <w:szCs w:val="20"/>
        </w:rPr>
        <w:t>coming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online in 2018-2020 and </w:t>
      </w:r>
      <w:proofErr w:type="spellStart"/>
      <w:r w:rsidRPr="00302E34">
        <w:rPr>
          <w:rFonts w:asciiTheme="minorHAnsi" w:hAnsiTheme="minorHAnsi"/>
          <w:sz w:val="20"/>
          <w:szCs w:val="20"/>
        </w:rPr>
        <w:t>some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of the ‘</w:t>
      </w:r>
      <w:proofErr w:type="spellStart"/>
      <w:r w:rsidRPr="00302E34">
        <w:rPr>
          <w:rFonts w:asciiTheme="minorHAnsi" w:hAnsiTheme="minorHAnsi"/>
          <w:sz w:val="20"/>
          <w:szCs w:val="20"/>
        </w:rPr>
        <w:t>old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’ </w:t>
      </w:r>
      <w:proofErr w:type="spellStart"/>
      <w:r w:rsidRPr="00302E34">
        <w:rPr>
          <w:rFonts w:asciiTheme="minorHAnsi" w:hAnsiTheme="minorHAnsi"/>
          <w:sz w:val="20"/>
          <w:szCs w:val="20"/>
        </w:rPr>
        <w:t>flows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2E34">
        <w:rPr>
          <w:rFonts w:asciiTheme="minorHAnsi" w:hAnsiTheme="minorHAnsi"/>
          <w:sz w:val="20"/>
          <w:szCs w:val="20"/>
        </w:rPr>
        <w:t>being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2E34">
        <w:rPr>
          <w:rFonts w:asciiTheme="minorHAnsi" w:hAnsiTheme="minorHAnsi"/>
          <w:sz w:val="20"/>
          <w:szCs w:val="20"/>
        </w:rPr>
        <w:t>redirected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from Asia </w:t>
      </w:r>
      <w:proofErr w:type="spellStart"/>
      <w:r w:rsidRPr="00302E34">
        <w:rPr>
          <w:rFonts w:asciiTheme="minorHAnsi" w:hAnsiTheme="minorHAnsi"/>
          <w:sz w:val="20"/>
          <w:szCs w:val="20"/>
        </w:rPr>
        <w:t>due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to the </w:t>
      </w:r>
      <w:proofErr w:type="spellStart"/>
      <w:r w:rsidRPr="00302E34">
        <w:rPr>
          <w:rFonts w:asciiTheme="minorHAnsi" w:hAnsiTheme="minorHAnsi"/>
          <w:sz w:val="20"/>
          <w:szCs w:val="20"/>
        </w:rPr>
        <w:t>low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2E34">
        <w:rPr>
          <w:rFonts w:asciiTheme="minorHAnsi" w:hAnsiTheme="minorHAnsi"/>
          <w:sz w:val="20"/>
          <w:szCs w:val="20"/>
        </w:rPr>
        <w:t>adjusted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JKM-TTF </w:t>
      </w:r>
      <w:proofErr w:type="spellStart"/>
      <w:r w:rsidRPr="00302E34">
        <w:rPr>
          <w:rFonts w:asciiTheme="minorHAnsi" w:hAnsiTheme="minorHAnsi"/>
          <w:sz w:val="20"/>
          <w:szCs w:val="20"/>
        </w:rPr>
        <w:t>price</w:t>
      </w:r>
      <w:proofErr w:type="spellEnd"/>
      <w:r w:rsidRPr="00302E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2E34">
        <w:rPr>
          <w:rFonts w:asciiTheme="minorHAnsi" w:hAnsiTheme="minorHAnsi"/>
          <w:sz w:val="20"/>
          <w:szCs w:val="20"/>
        </w:rPr>
        <w:t>spread</w:t>
      </w:r>
      <w:proofErr w:type="spellEnd"/>
      <w:r w:rsidRPr="00302E34">
        <w:rPr>
          <w:rFonts w:asciiTheme="minorHAnsi" w:hAnsiTheme="minorHAnsi"/>
          <w:sz w:val="20"/>
          <w:szCs w:val="20"/>
        </w:rPr>
        <w:t>.</w:t>
      </w:r>
    </w:p>
    <w:p w:rsidR="00390CEA" w:rsidRPr="00F90EDE" w:rsidRDefault="00390CEA" w:rsidP="002F7DC8">
      <w:pPr>
        <w:pStyle w:val="Default"/>
        <w:rPr>
          <w:rFonts w:asciiTheme="minorHAnsi" w:hAnsiTheme="minorHAnsi"/>
          <w:bCs/>
          <w:sz w:val="20"/>
          <w:szCs w:val="19"/>
          <w:lang w:val="en-US"/>
        </w:rPr>
      </w:pPr>
    </w:p>
    <w:p w:rsidR="00307025" w:rsidRPr="00307025" w:rsidRDefault="002F7DC8" w:rsidP="009C0ED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otham Bold"/>
          <w:b/>
          <w:bCs/>
          <w:color w:val="000000"/>
          <w:sz w:val="20"/>
          <w:szCs w:val="19"/>
          <w:lang w:val="en-US" w:eastAsia="en-US"/>
        </w:rPr>
      </w:pPr>
      <w:r w:rsidRPr="00E2027D">
        <w:rPr>
          <w:rFonts w:asciiTheme="minorHAnsi" w:eastAsiaTheme="minorHAnsi" w:hAnsiTheme="minorHAnsi" w:cs="Gotham Bold"/>
          <w:b/>
          <w:bCs/>
          <w:color w:val="000000"/>
          <w:sz w:val="20"/>
          <w:szCs w:val="19"/>
          <w:lang w:val="en-US" w:eastAsia="en-US"/>
        </w:rPr>
        <w:t>Valuation Methodology</w:t>
      </w:r>
    </w:p>
    <w:p w:rsidR="00694E64" w:rsidRDefault="00694E64" w:rsidP="00612DEB">
      <w:pPr>
        <w:autoSpaceDE w:val="0"/>
        <w:autoSpaceDN w:val="0"/>
        <w:adjustRightInd w:val="0"/>
        <w:rPr>
          <w:rFonts w:asciiTheme="minorHAnsi" w:eastAsiaTheme="minorHAnsi" w:hAnsiTheme="minorHAnsi" w:cs="Gotham Bold"/>
          <w:bCs/>
          <w:color w:val="000000"/>
          <w:sz w:val="20"/>
          <w:szCs w:val="19"/>
          <w:lang w:val="en-US" w:eastAsia="en-US"/>
        </w:rPr>
      </w:pPr>
    </w:p>
    <w:p w:rsidR="00390CEA" w:rsidRDefault="00526E94" w:rsidP="00526E94">
      <w:pPr>
        <w:pStyle w:val="Default"/>
        <w:rPr>
          <w:rFonts w:asciiTheme="minorHAnsi" w:hAnsiTheme="minorHAnsi"/>
          <w:bCs/>
          <w:sz w:val="20"/>
          <w:szCs w:val="19"/>
          <w:lang w:val="en-US"/>
        </w:rPr>
      </w:pPr>
      <w:r w:rsidRPr="00526E94">
        <w:rPr>
          <w:rFonts w:asciiTheme="minorHAnsi" w:hAnsiTheme="minorHAnsi"/>
          <w:bCs/>
          <w:sz w:val="20"/>
          <w:szCs w:val="19"/>
          <w:lang w:val="en-US"/>
        </w:rPr>
        <w:t xml:space="preserve">Our valuation approach for </w:t>
      </w:r>
      <w:proofErr w:type="spellStart"/>
      <w:r w:rsidRPr="00526E94">
        <w:rPr>
          <w:rFonts w:asciiTheme="minorHAnsi" w:hAnsiTheme="minorHAnsi"/>
          <w:bCs/>
          <w:sz w:val="20"/>
          <w:szCs w:val="19"/>
          <w:lang w:val="en-US"/>
        </w:rPr>
        <w:t>PGNiG</w:t>
      </w:r>
      <w:proofErr w:type="spellEnd"/>
      <w:r w:rsidRPr="00526E94">
        <w:rPr>
          <w:rFonts w:asciiTheme="minorHAnsi" w:hAnsiTheme="minorHAnsi"/>
          <w:bCs/>
          <w:sz w:val="20"/>
          <w:szCs w:val="19"/>
          <w:lang w:val="en-US"/>
        </w:rPr>
        <w:t xml:space="preserve"> uses two methods: a discounted cash flow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526E94">
        <w:rPr>
          <w:rFonts w:asciiTheme="minorHAnsi" w:hAnsiTheme="minorHAnsi"/>
          <w:bCs/>
          <w:sz w:val="20"/>
          <w:szCs w:val="19"/>
          <w:lang w:val="en-US"/>
        </w:rPr>
        <w:t>(DCF) and a peer valuation. We calculate the final FV as the weighted average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526E94">
        <w:rPr>
          <w:rFonts w:asciiTheme="minorHAnsi" w:hAnsiTheme="minorHAnsi"/>
          <w:bCs/>
          <w:sz w:val="20"/>
          <w:szCs w:val="19"/>
          <w:lang w:val="en-US"/>
        </w:rPr>
        <w:t>of the two results with 75% and 25% weights for DCF and relative valuation,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526E94">
        <w:rPr>
          <w:rFonts w:asciiTheme="minorHAnsi" w:hAnsiTheme="minorHAnsi"/>
          <w:bCs/>
          <w:sz w:val="20"/>
          <w:szCs w:val="19"/>
          <w:lang w:val="en-US"/>
        </w:rPr>
        <w:t xml:space="preserve">respectively. We believe that due to higher exposure to the gas market </w:t>
      </w:r>
      <w:proofErr w:type="spellStart"/>
      <w:r w:rsidRPr="00526E94">
        <w:rPr>
          <w:rFonts w:asciiTheme="minorHAnsi" w:hAnsiTheme="minorHAnsi"/>
          <w:bCs/>
          <w:sz w:val="20"/>
          <w:szCs w:val="19"/>
          <w:lang w:val="en-US"/>
        </w:rPr>
        <w:t>PGNiG</w:t>
      </w:r>
      <w:proofErr w:type="spellEnd"/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526E94">
        <w:rPr>
          <w:rFonts w:asciiTheme="minorHAnsi" w:hAnsiTheme="minorHAnsi"/>
          <w:bCs/>
          <w:sz w:val="20"/>
          <w:szCs w:val="19"/>
          <w:lang w:val="en-US"/>
        </w:rPr>
        <w:t>should be priced at a discount vs its international peers exposed to crude oil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526E94">
        <w:rPr>
          <w:rFonts w:asciiTheme="minorHAnsi" w:hAnsiTheme="minorHAnsi"/>
          <w:bCs/>
          <w:sz w:val="20"/>
          <w:szCs w:val="19"/>
          <w:lang w:val="en-US"/>
        </w:rPr>
        <w:t>and hence we believe the relative valuation is less relevant vs a DCF.</w:t>
      </w:r>
    </w:p>
    <w:p w:rsidR="00526E94" w:rsidRPr="008E3526" w:rsidRDefault="00526E94" w:rsidP="00526E94">
      <w:pPr>
        <w:pStyle w:val="Default"/>
        <w:rPr>
          <w:rFonts w:asciiTheme="minorHAnsi" w:hAnsiTheme="minorHAnsi"/>
          <w:bCs/>
          <w:sz w:val="20"/>
          <w:szCs w:val="19"/>
          <w:lang w:val="en-US"/>
        </w:rPr>
      </w:pPr>
    </w:p>
    <w:p w:rsidR="00F90EDE" w:rsidRDefault="00612DEB" w:rsidP="009C0ED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otham Bold"/>
          <w:b/>
          <w:bCs/>
          <w:color w:val="000000"/>
          <w:sz w:val="20"/>
          <w:szCs w:val="19"/>
          <w:lang w:val="en-US" w:eastAsia="en-US"/>
        </w:rPr>
      </w:pPr>
      <w:r w:rsidRPr="00E2027D">
        <w:rPr>
          <w:rFonts w:asciiTheme="minorHAnsi" w:eastAsiaTheme="minorHAnsi" w:hAnsiTheme="minorHAnsi" w:cs="Gotham Bold"/>
          <w:b/>
          <w:bCs/>
          <w:color w:val="000000"/>
          <w:sz w:val="20"/>
          <w:szCs w:val="19"/>
          <w:lang w:val="en-US" w:eastAsia="en-US"/>
        </w:rPr>
        <w:t>Risks to Fair Value</w:t>
      </w:r>
    </w:p>
    <w:p w:rsidR="00FB7CD2" w:rsidRPr="00307025" w:rsidRDefault="00FB7CD2" w:rsidP="00F90EDE">
      <w:pPr>
        <w:autoSpaceDE w:val="0"/>
        <w:autoSpaceDN w:val="0"/>
        <w:adjustRightInd w:val="0"/>
        <w:rPr>
          <w:rFonts w:asciiTheme="minorHAnsi" w:eastAsiaTheme="minorHAnsi" w:hAnsiTheme="minorHAnsi" w:cs="Gotham Bold"/>
          <w:b/>
          <w:bCs/>
          <w:color w:val="000000"/>
          <w:sz w:val="20"/>
          <w:szCs w:val="19"/>
          <w:lang w:val="en-US" w:eastAsia="en-US"/>
        </w:rPr>
      </w:pPr>
    </w:p>
    <w:p w:rsidR="00302E34" w:rsidRPr="00302E34" w:rsidRDefault="00302E34" w:rsidP="00302E34">
      <w:pPr>
        <w:pStyle w:val="Default"/>
        <w:jc w:val="both"/>
        <w:rPr>
          <w:rFonts w:asciiTheme="minorHAnsi" w:hAnsiTheme="minorHAnsi"/>
          <w:b/>
          <w:bCs/>
          <w:sz w:val="20"/>
          <w:szCs w:val="19"/>
          <w:lang w:val="en-US"/>
        </w:rPr>
      </w:pPr>
      <w:r w:rsidRPr="00302E34">
        <w:rPr>
          <w:rFonts w:asciiTheme="minorHAnsi" w:hAnsiTheme="minorHAnsi"/>
          <w:b/>
          <w:bCs/>
          <w:sz w:val="20"/>
          <w:szCs w:val="19"/>
          <w:lang w:val="en-US"/>
        </w:rPr>
        <w:t>Market risks</w:t>
      </w:r>
    </w:p>
    <w:p w:rsidR="00302E34" w:rsidRDefault="00302E34" w:rsidP="00302E34">
      <w:pPr>
        <w:pStyle w:val="Default"/>
        <w:jc w:val="both"/>
        <w:rPr>
          <w:rFonts w:asciiTheme="minorHAnsi" w:hAnsiTheme="minorHAnsi"/>
          <w:bCs/>
          <w:sz w:val="20"/>
          <w:szCs w:val="19"/>
          <w:lang w:val="en-US"/>
        </w:rPr>
      </w:pPr>
      <w:r w:rsidRPr="00302E34">
        <w:rPr>
          <w:rFonts w:asciiTheme="minorHAnsi" w:hAnsiTheme="minorHAnsi"/>
          <w:bCs/>
          <w:sz w:val="20"/>
          <w:szCs w:val="19"/>
          <w:u w:val="single"/>
          <w:lang w:val="en-US"/>
        </w:rPr>
        <w:t>Commodity risk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 – related to changes in natural gas prices, crude-related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products, CO2 allowances and even LNG cargo freight rates. The natural gas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market: the natural gas market is regional in nature with different benchmark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prices determined by different factors; for instance the US Henry-Hub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benchmark price is set entirely by gas-to-gas competition whereas European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and Asian gas benchmarks are indexed in full or in part to oil product prices.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The situation when crude prices are going up whilst gas prices are staying flat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or even going down may have a negative impact on the </w:t>
      </w:r>
      <w:proofErr w:type="spellStart"/>
      <w:r w:rsidRPr="00302E34">
        <w:rPr>
          <w:rFonts w:asciiTheme="minorHAnsi" w:hAnsiTheme="minorHAnsi"/>
          <w:bCs/>
          <w:sz w:val="20"/>
          <w:szCs w:val="19"/>
          <w:lang w:val="en-US"/>
        </w:rPr>
        <w:t>Trading&amp;Storage</w:t>
      </w:r>
      <w:proofErr w:type="spellEnd"/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segment results. To the extent set by the upstream exposure to crude price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the situation described above may be offset to some extent.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</w:p>
    <w:p w:rsidR="00302E34" w:rsidRDefault="00302E34" w:rsidP="00302E34">
      <w:pPr>
        <w:pStyle w:val="Default"/>
        <w:jc w:val="both"/>
        <w:rPr>
          <w:rFonts w:asciiTheme="minorHAnsi" w:hAnsiTheme="minorHAnsi"/>
          <w:bCs/>
          <w:sz w:val="20"/>
          <w:szCs w:val="19"/>
          <w:lang w:val="en-US"/>
        </w:rPr>
      </w:pPr>
      <w:r w:rsidRPr="00302E34">
        <w:rPr>
          <w:rFonts w:asciiTheme="minorHAnsi" w:hAnsiTheme="minorHAnsi"/>
          <w:bCs/>
          <w:sz w:val="20"/>
          <w:szCs w:val="19"/>
          <w:u w:val="single"/>
          <w:lang w:val="en-US"/>
        </w:rPr>
        <w:t>Currency risk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 –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natural gas purchases are settled in foreign currencies whilst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sales in Poland are set in Polish Zloty. Even though prices in Poland account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for FX changes, higher currency volatility may not be transferred in full for </w:t>
      </w:r>
      <w:proofErr w:type="spellStart"/>
      <w:r w:rsidRPr="00302E34">
        <w:rPr>
          <w:rFonts w:asciiTheme="minorHAnsi" w:hAnsiTheme="minorHAnsi"/>
          <w:bCs/>
          <w:sz w:val="20"/>
          <w:szCs w:val="19"/>
          <w:lang w:val="en-US"/>
        </w:rPr>
        <w:t>offtakers</w:t>
      </w:r>
      <w:proofErr w:type="spellEnd"/>
      <w:r w:rsidRPr="00302E34">
        <w:rPr>
          <w:rFonts w:asciiTheme="minorHAnsi" w:hAnsiTheme="minorHAnsi"/>
          <w:bCs/>
          <w:sz w:val="20"/>
          <w:szCs w:val="19"/>
          <w:lang w:val="en-US"/>
        </w:rPr>
        <w:t>,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especially in the short-term. Also, PST activities abroad along with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upstream activities in Norway are naturally exposed to FX risk.</w:t>
      </w:r>
    </w:p>
    <w:p w:rsidR="00302E34" w:rsidRPr="00302E34" w:rsidRDefault="00302E34" w:rsidP="00302E34">
      <w:pPr>
        <w:pStyle w:val="Default"/>
        <w:jc w:val="both"/>
        <w:rPr>
          <w:rFonts w:asciiTheme="minorHAnsi" w:hAnsiTheme="minorHAnsi"/>
          <w:bCs/>
          <w:sz w:val="20"/>
          <w:szCs w:val="19"/>
          <w:lang w:val="en-US"/>
        </w:rPr>
      </w:pPr>
    </w:p>
    <w:p w:rsidR="00302E34" w:rsidRPr="00302E34" w:rsidRDefault="00302E34" w:rsidP="00302E34">
      <w:pPr>
        <w:pStyle w:val="Default"/>
        <w:jc w:val="both"/>
        <w:rPr>
          <w:rFonts w:asciiTheme="minorHAnsi" w:hAnsiTheme="minorHAnsi"/>
          <w:b/>
          <w:bCs/>
          <w:sz w:val="20"/>
          <w:szCs w:val="19"/>
          <w:lang w:val="en-US"/>
        </w:rPr>
      </w:pPr>
      <w:r w:rsidRPr="00302E34">
        <w:rPr>
          <w:rFonts w:asciiTheme="minorHAnsi" w:hAnsiTheme="minorHAnsi"/>
          <w:b/>
          <w:bCs/>
          <w:sz w:val="20"/>
          <w:szCs w:val="19"/>
          <w:lang w:val="en-US"/>
        </w:rPr>
        <w:t>Sector risks</w:t>
      </w:r>
    </w:p>
    <w:p w:rsidR="00CE194A" w:rsidRDefault="00302E34" w:rsidP="00626574">
      <w:pPr>
        <w:pStyle w:val="Default"/>
        <w:jc w:val="both"/>
        <w:rPr>
          <w:rFonts w:asciiTheme="minorHAnsi" w:hAnsiTheme="minorHAnsi"/>
          <w:bCs/>
          <w:sz w:val="20"/>
          <w:szCs w:val="19"/>
          <w:lang w:val="en-US"/>
        </w:rPr>
      </w:pPr>
      <w:r w:rsidRPr="00302E34">
        <w:rPr>
          <w:rFonts w:asciiTheme="minorHAnsi" w:hAnsiTheme="minorHAnsi"/>
          <w:bCs/>
          <w:sz w:val="20"/>
          <w:szCs w:val="19"/>
          <w:lang w:val="en-US"/>
        </w:rPr>
        <w:t>The overall economic situation along with weather conditions has a material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effect on natural gas consumption levels and thus has a bearing on the sales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and prices realized by the </w:t>
      </w:r>
      <w:proofErr w:type="spellStart"/>
      <w:r w:rsidRPr="00302E34">
        <w:rPr>
          <w:rFonts w:asciiTheme="minorHAnsi" w:hAnsiTheme="minorHAnsi"/>
          <w:bCs/>
          <w:sz w:val="20"/>
          <w:szCs w:val="19"/>
          <w:lang w:val="en-US"/>
        </w:rPr>
        <w:t>PGNiG</w:t>
      </w:r>
      <w:proofErr w:type="spellEnd"/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 Group.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="00626574" w:rsidRPr="00626574">
        <w:rPr>
          <w:rFonts w:asciiTheme="minorHAnsi" w:hAnsiTheme="minorHAnsi"/>
          <w:bCs/>
          <w:sz w:val="20"/>
          <w:szCs w:val="19"/>
          <w:lang w:val="en-US"/>
        </w:rPr>
        <w:t>members do not reach a consensus and MUX8 keeps its low coverage ratio, it could reduce the pace of the expected WPL TV recovery.</w:t>
      </w:r>
    </w:p>
    <w:p w:rsidR="00302E34" w:rsidRDefault="00302E34" w:rsidP="00626574">
      <w:pPr>
        <w:pStyle w:val="Default"/>
        <w:jc w:val="both"/>
        <w:rPr>
          <w:rFonts w:asciiTheme="minorHAnsi" w:hAnsiTheme="minorHAnsi"/>
          <w:bCs/>
          <w:sz w:val="20"/>
          <w:szCs w:val="19"/>
          <w:lang w:val="en-US"/>
        </w:rPr>
      </w:pPr>
    </w:p>
    <w:p w:rsidR="00302E34" w:rsidRPr="00302E34" w:rsidRDefault="00302E34" w:rsidP="00302E34">
      <w:pPr>
        <w:pStyle w:val="Default"/>
        <w:jc w:val="both"/>
        <w:rPr>
          <w:rFonts w:asciiTheme="minorHAnsi" w:hAnsiTheme="minorHAnsi"/>
          <w:b/>
          <w:bCs/>
          <w:sz w:val="20"/>
          <w:szCs w:val="19"/>
          <w:lang w:val="en-US"/>
        </w:rPr>
      </w:pPr>
      <w:r w:rsidRPr="00302E34">
        <w:rPr>
          <w:rFonts w:asciiTheme="minorHAnsi" w:hAnsiTheme="minorHAnsi"/>
          <w:b/>
          <w:bCs/>
          <w:sz w:val="20"/>
          <w:szCs w:val="19"/>
          <w:lang w:val="en-US"/>
        </w:rPr>
        <w:t>Upstream activities risks</w:t>
      </w:r>
    </w:p>
    <w:p w:rsidR="00302E34" w:rsidRPr="00302E34" w:rsidRDefault="00302E34" w:rsidP="00302E34">
      <w:pPr>
        <w:pStyle w:val="Default"/>
        <w:jc w:val="both"/>
        <w:rPr>
          <w:rFonts w:asciiTheme="minorHAnsi" w:hAnsiTheme="minorHAnsi"/>
          <w:bCs/>
          <w:sz w:val="20"/>
          <w:szCs w:val="19"/>
          <w:lang w:val="en-US"/>
        </w:rPr>
      </w:pPr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The upstream projects carried out by </w:t>
      </w:r>
      <w:proofErr w:type="spellStart"/>
      <w:r w:rsidRPr="00302E34">
        <w:rPr>
          <w:rFonts w:asciiTheme="minorHAnsi" w:hAnsiTheme="minorHAnsi"/>
          <w:bCs/>
          <w:sz w:val="20"/>
          <w:szCs w:val="19"/>
          <w:lang w:val="en-US"/>
        </w:rPr>
        <w:t>PGNiG</w:t>
      </w:r>
      <w:proofErr w:type="spellEnd"/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 are subject to a number of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geological and operational risks that may prevent the Group from earning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expected profits. Implementation of such projects may be delayed or may fail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to succeed, chiefly because of high exploration risk inherent in this type of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business, cost overruns, lower-than-expected crude and gas prices, a higher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tha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n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expected fiscal burden, adverse changes in sectorial regulations,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shortage of equipment and qualified staff, bad weather, or difficulty finding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partners to share the risks and costs related to project implementation.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Project execution may often entail using new and advanced technologies,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which are expensive to develop, acquire and implement and may not operate</w:t>
      </w:r>
    </w:p>
    <w:p w:rsidR="00302E34" w:rsidRDefault="00302E34" w:rsidP="00302E34">
      <w:pPr>
        <w:pStyle w:val="Default"/>
        <w:jc w:val="both"/>
        <w:rPr>
          <w:rFonts w:asciiTheme="minorHAnsi" w:hAnsiTheme="minorHAnsi"/>
          <w:bCs/>
          <w:sz w:val="20"/>
          <w:szCs w:val="19"/>
          <w:lang w:val="en-US"/>
        </w:rPr>
      </w:pPr>
      <w:r w:rsidRPr="00302E34">
        <w:rPr>
          <w:rFonts w:asciiTheme="minorHAnsi" w:hAnsiTheme="minorHAnsi"/>
          <w:bCs/>
          <w:sz w:val="20"/>
          <w:szCs w:val="19"/>
          <w:lang w:val="en-US"/>
        </w:rPr>
        <w:t>as expected.</w:t>
      </w:r>
    </w:p>
    <w:p w:rsidR="00302E34" w:rsidRPr="00302E34" w:rsidRDefault="00302E34" w:rsidP="00302E34">
      <w:pPr>
        <w:pStyle w:val="Default"/>
        <w:jc w:val="both"/>
        <w:rPr>
          <w:rFonts w:asciiTheme="minorHAnsi" w:hAnsiTheme="minorHAnsi"/>
          <w:bCs/>
          <w:sz w:val="20"/>
          <w:szCs w:val="19"/>
          <w:lang w:val="en-US"/>
        </w:rPr>
      </w:pPr>
    </w:p>
    <w:p w:rsidR="00302E34" w:rsidRPr="00302E34" w:rsidRDefault="00302E34" w:rsidP="00302E34">
      <w:pPr>
        <w:pStyle w:val="Default"/>
        <w:jc w:val="both"/>
        <w:rPr>
          <w:rFonts w:asciiTheme="minorHAnsi" w:hAnsiTheme="minorHAnsi"/>
          <w:b/>
          <w:bCs/>
          <w:sz w:val="20"/>
          <w:szCs w:val="19"/>
          <w:lang w:val="en-US"/>
        </w:rPr>
      </w:pPr>
      <w:r w:rsidRPr="00302E34">
        <w:rPr>
          <w:rFonts w:asciiTheme="minorHAnsi" w:hAnsiTheme="minorHAnsi"/>
          <w:b/>
          <w:bCs/>
          <w:sz w:val="20"/>
          <w:szCs w:val="19"/>
          <w:lang w:val="en-US"/>
        </w:rPr>
        <w:t>Risk related to the legal dispute with GAZPROM</w:t>
      </w:r>
    </w:p>
    <w:p w:rsidR="00302E34" w:rsidRDefault="00302E34" w:rsidP="00302E34">
      <w:pPr>
        <w:pStyle w:val="Default"/>
        <w:jc w:val="both"/>
        <w:rPr>
          <w:rFonts w:asciiTheme="minorHAnsi" w:hAnsiTheme="minorHAnsi"/>
          <w:bCs/>
          <w:sz w:val="20"/>
          <w:szCs w:val="19"/>
          <w:lang w:val="en-US"/>
        </w:rPr>
      </w:pPr>
      <w:proofErr w:type="spellStart"/>
      <w:r w:rsidRPr="00302E34">
        <w:rPr>
          <w:rFonts w:asciiTheme="minorHAnsi" w:hAnsiTheme="minorHAnsi"/>
          <w:bCs/>
          <w:sz w:val="20"/>
          <w:szCs w:val="19"/>
          <w:lang w:val="en-US"/>
        </w:rPr>
        <w:t>PGNiG</w:t>
      </w:r>
      <w:proofErr w:type="spellEnd"/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 filed for arbitration with the Stockholm Arbitration Tribunal in a dispute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with Gazprom whereby it asked the company to renegotiate the price of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natural gas delivered to Poland under a long-term contract. According to our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calculations, the total retroactive payment that may or may not be granted to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proofErr w:type="spellStart"/>
      <w:r w:rsidRPr="00302E34">
        <w:rPr>
          <w:rFonts w:asciiTheme="minorHAnsi" w:hAnsiTheme="minorHAnsi"/>
          <w:bCs/>
          <w:sz w:val="20"/>
          <w:szCs w:val="19"/>
          <w:lang w:val="en-US"/>
        </w:rPr>
        <w:t>PGNiG</w:t>
      </w:r>
      <w:proofErr w:type="spellEnd"/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 would be in the range of PLN 2.5bn and PLN 3bn, which constitutes 35-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30% of 2018 EBITDA. We think that the immediate Gazprom dispute poses a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major upside risk to the fair value estimated by us. In the event of the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Stockholm Arbitration Court’s prompt positive decision, the net positive effect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vs our valuation could be PLN 0.20 per share, i.e. ca. 4.3% vs the current share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price.</w:t>
      </w:r>
    </w:p>
    <w:p w:rsidR="00302E34" w:rsidRDefault="00302E34" w:rsidP="00302E34">
      <w:pPr>
        <w:pStyle w:val="Default"/>
        <w:jc w:val="both"/>
        <w:rPr>
          <w:rFonts w:asciiTheme="minorHAnsi" w:hAnsiTheme="minorHAnsi"/>
          <w:bCs/>
          <w:sz w:val="20"/>
          <w:szCs w:val="19"/>
          <w:lang w:val="en-US"/>
        </w:rPr>
      </w:pPr>
    </w:p>
    <w:p w:rsidR="00302E34" w:rsidRPr="00302E34" w:rsidRDefault="00302E34" w:rsidP="00302E34">
      <w:pPr>
        <w:pStyle w:val="Default"/>
        <w:jc w:val="both"/>
        <w:rPr>
          <w:rFonts w:asciiTheme="minorHAnsi" w:hAnsiTheme="minorHAnsi"/>
          <w:b/>
          <w:bCs/>
          <w:sz w:val="20"/>
          <w:szCs w:val="19"/>
          <w:lang w:val="en-US"/>
        </w:rPr>
      </w:pPr>
      <w:r w:rsidRPr="00302E34">
        <w:rPr>
          <w:rFonts w:asciiTheme="minorHAnsi" w:hAnsiTheme="minorHAnsi"/>
          <w:b/>
          <w:bCs/>
          <w:sz w:val="20"/>
          <w:szCs w:val="19"/>
          <w:lang w:val="en-US"/>
        </w:rPr>
        <w:t>Political and legal risks</w:t>
      </w:r>
    </w:p>
    <w:p w:rsidR="00302E34" w:rsidRPr="00E2027D" w:rsidRDefault="00302E34" w:rsidP="00302E34">
      <w:pPr>
        <w:pStyle w:val="Default"/>
        <w:jc w:val="both"/>
        <w:rPr>
          <w:rFonts w:asciiTheme="minorHAnsi" w:hAnsiTheme="minorHAnsi"/>
          <w:bCs/>
          <w:sz w:val="20"/>
          <w:szCs w:val="19"/>
          <w:lang w:val="en-US"/>
        </w:rPr>
      </w:pPr>
      <w:r w:rsidRPr="00302E34">
        <w:rPr>
          <w:rFonts w:asciiTheme="minorHAnsi" w:hAnsiTheme="minorHAnsi"/>
          <w:bCs/>
          <w:sz w:val="20"/>
          <w:szCs w:val="19"/>
          <w:lang w:val="en-US"/>
        </w:rPr>
        <w:t>State-controlled companies may be exposed to the risk of being forced by the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Government to invest in unprofitable projects such as the first nuclear power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plant, the </w:t>
      </w:r>
      <w:proofErr w:type="spellStart"/>
      <w:r w:rsidRPr="00302E34">
        <w:rPr>
          <w:rFonts w:asciiTheme="minorHAnsi" w:hAnsiTheme="minorHAnsi"/>
          <w:bCs/>
          <w:sz w:val="20"/>
          <w:szCs w:val="19"/>
          <w:lang w:val="en-US"/>
        </w:rPr>
        <w:t>Ostroleka</w:t>
      </w:r>
      <w:proofErr w:type="spellEnd"/>
      <w:r w:rsidRPr="00302E34">
        <w:rPr>
          <w:rFonts w:asciiTheme="minorHAnsi" w:hAnsiTheme="minorHAnsi"/>
          <w:bCs/>
          <w:sz w:val="20"/>
          <w:szCs w:val="19"/>
          <w:lang w:val="en-US"/>
        </w:rPr>
        <w:t xml:space="preserve"> coal power plant, rescuing Polish coal plants (</w:t>
      </w:r>
      <w:proofErr w:type="spellStart"/>
      <w:r w:rsidRPr="00302E34">
        <w:rPr>
          <w:rFonts w:asciiTheme="minorHAnsi" w:hAnsiTheme="minorHAnsi"/>
          <w:bCs/>
          <w:sz w:val="20"/>
          <w:szCs w:val="19"/>
          <w:lang w:val="en-US"/>
        </w:rPr>
        <w:t>PGNiG</w:t>
      </w:r>
      <w:proofErr w:type="spellEnd"/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already took part in a couple of financing rounds for PGG (Polish Mining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Group)) etc. Even though the investment process in the majority of these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projects will be phased over time, the information itself would be reflected in</w:t>
      </w:r>
      <w:r>
        <w:rPr>
          <w:rFonts w:asciiTheme="minorHAnsi" w:hAnsiTheme="minorHAnsi"/>
          <w:bCs/>
          <w:sz w:val="20"/>
          <w:szCs w:val="19"/>
          <w:lang w:val="en-US"/>
        </w:rPr>
        <w:t xml:space="preserve"> </w:t>
      </w:r>
      <w:r w:rsidRPr="00302E34">
        <w:rPr>
          <w:rFonts w:asciiTheme="minorHAnsi" w:hAnsiTheme="minorHAnsi"/>
          <w:bCs/>
          <w:sz w:val="20"/>
          <w:szCs w:val="19"/>
          <w:lang w:val="en-US"/>
        </w:rPr>
        <w:t>the market price instantaneously.</w:t>
      </w:r>
    </w:p>
    <w:p w:rsidR="00390CEA" w:rsidRPr="00626574" w:rsidRDefault="00390CEA" w:rsidP="002F7DC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otham Bold"/>
          <w:bCs/>
          <w:color w:val="000000"/>
          <w:sz w:val="20"/>
          <w:szCs w:val="19"/>
          <w:lang w:val="en-US" w:eastAsia="en-US"/>
        </w:rPr>
      </w:pPr>
    </w:p>
    <w:p w:rsidR="00390CEA" w:rsidRPr="00626574" w:rsidRDefault="00390CEA" w:rsidP="002F7DC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otham Bold"/>
          <w:bCs/>
          <w:color w:val="000000"/>
          <w:sz w:val="20"/>
          <w:szCs w:val="19"/>
          <w:lang w:val="en-US" w:eastAsia="en-US"/>
        </w:rPr>
      </w:pPr>
    </w:p>
    <w:p w:rsidR="002F7DC8" w:rsidRPr="00F90EDE" w:rsidRDefault="002F7DC8" w:rsidP="002F7DC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otham Bold"/>
          <w:b/>
          <w:bCs/>
          <w:color w:val="000000"/>
          <w:sz w:val="20"/>
          <w:szCs w:val="19"/>
          <w:u w:val="single"/>
          <w:lang w:val="en-US" w:eastAsia="en-US"/>
        </w:rPr>
      </w:pPr>
      <w:r w:rsidRPr="00F90EDE">
        <w:rPr>
          <w:rFonts w:asciiTheme="minorHAnsi" w:eastAsiaTheme="minorHAnsi" w:hAnsiTheme="minorHAnsi" w:cs="Gotham Bold"/>
          <w:b/>
          <w:bCs/>
          <w:color w:val="000000"/>
          <w:sz w:val="20"/>
          <w:szCs w:val="19"/>
          <w:u w:val="single"/>
          <w:lang w:val="en-US" w:eastAsia="en-US"/>
        </w:rPr>
        <w:t>IMPORTANT DISCLOSURES</w:t>
      </w:r>
    </w:p>
    <w:p w:rsidR="002F7DC8" w:rsidRPr="00F90EDE" w:rsidRDefault="002F7DC8" w:rsidP="00E111F6">
      <w:pPr>
        <w:autoSpaceDE w:val="0"/>
        <w:autoSpaceDN w:val="0"/>
        <w:adjustRightInd w:val="0"/>
        <w:jc w:val="both"/>
        <w:rPr>
          <w:rFonts w:asciiTheme="minorHAnsi" w:eastAsiaTheme="minorHAnsi" w:hAnsiTheme="minorHAnsi" w:cs="Gotham Bold"/>
          <w:bCs/>
          <w:color w:val="000000"/>
          <w:sz w:val="18"/>
          <w:szCs w:val="19"/>
          <w:lang w:val="en-US" w:eastAsia="en-US"/>
        </w:rPr>
      </w:pPr>
    </w:p>
    <w:p w:rsidR="00F90EDE" w:rsidRPr="00F90EDE" w:rsidRDefault="00F90EDE" w:rsidP="00E111F6">
      <w:pPr>
        <w:autoSpaceDE w:val="0"/>
        <w:autoSpaceDN w:val="0"/>
        <w:adjustRightInd w:val="0"/>
        <w:jc w:val="both"/>
        <w:rPr>
          <w:rFonts w:asciiTheme="minorHAnsi" w:eastAsiaTheme="minorHAnsi" w:hAnsiTheme="minorHAnsi" w:cs="Gotham Bold"/>
          <w:bCs/>
          <w:color w:val="000000"/>
          <w:sz w:val="18"/>
          <w:szCs w:val="19"/>
          <w:lang w:val="en-US" w:eastAsia="en-US"/>
        </w:rPr>
      </w:pPr>
      <w:r w:rsidRPr="00F90EDE">
        <w:rPr>
          <w:rFonts w:asciiTheme="minorHAnsi" w:eastAsiaTheme="minorHAnsi" w:hAnsiTheme="minorHAnsi" w:cs="Gotham Bold"/>
          <w:bCs/>
          <w:color w:val="000000"/>
          <w:sz w:val="18"/>
          <w:szCs w:val="19"/>
          <w:lang w:val="en-US" w:eastAsia="en-US"/>
        </w:rPr>
        <w:t xml:space="preserve">Please find updated IMPORTANT DISCLOSURES at: </w:t>
      </w:r>
      <w:hyperlink r:id="rId8" w:history="1">
        <w:r w:rsidRPr="00F90EDE">
          <w:rPr>
            <w:rStyle w:val="Hipercze"/>
            <w:rFonts w:asciiTheme="minorHAnsi" w:eastAsiaTheme="minorHAnsi" w:hAnsiTheme="minorHAnsi" w:cs="Gotham Bold"/>
            <w:bCs/>
            <w:sz w:val="18"/>
            <w:szCs w:val="19"/>
            <w:lang w:val="en-US" w:eastAsia="en-US"/>
          </w:rPr>
          <w:t>http://www.haitongib.com/en/what-we-do/research</w:t>
        </w:r>
      </w:hyperlink>
      <w:r w:rsidRPr="00F90EDE">
        <w:rPr>
          <w:rFonts w:asciiTheme="minorHAnsi" w:eastAsiaTheme="minorHAnsi" w:hAnsiTheme="minorHAnsi" w:cs="Gotham Bold"/>
          <w:bCs/>
          <w:color w:val="000000"/>
          <w:sz w:val="18"/>
          <w:szCs w:val="19"/>
          <w:lang w:val="en-US" w:eastAsia="en-US"/>
        </w:rPr>
        <w:t xml:space="preserve"> </w:t>
      </w:r>
    </w:p>
    <w:sectPr w:rsidR="00F90EDE" w:rsidRPr="00F90E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092" w:rsidRDefault="00E61092" w:rsidP="00903356">
      <w:r>
        <w:separator/>
      </w:r>
    </w:p>
  </w:endnote>
  <w:endnote w:type="continuationSeparator" w:id="0">
    <w:p w:rsidR="00E61092" w:rsidRDefault="00E61092" w:rsidP="0090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sSans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obe 宋体 Std L">
    <w:altName w:val="Microsoft JhengHei Light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092" w:rsidRDefault="00E61092" w:rsidP="00903356">
      <w:r>
        <w:separator/>
      </w:r>
    </w:p>
  </w:footnote>
  <w:footnote w:type="continuationSeparator" w:id="0">
    <w:p w:rsidR="00E61092" w:rsidRDefault="00E61092" w:rsidP="0090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83" w:rsidRDefault="00474E8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9658F3B" wp14:editId="2834B5CF">
          <wp:simplePos x="0" y="0"/>
          <wp:positionH relativeFrom="column">
            <wp:posOffset>-547370</wp:posOffset>
          </wp:positionH>
          <wp:positionV relativeFrom="paragraph">
            <wp:posOffset>-49530</wp:posOffset>
          </wp:positionV>
          <wp:extent cx="2781300" cy="4889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_H_pag A2-4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1A2"/>
    <w:multiLevelType w:val="hybridMultilevel"/>
    <w:tmpl w:val="9216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FED"/>
    <w:multiLevelType w:val="hybridMultilevel"/>
    <w:tmpl w:val="2FA2A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7651"/>
    <w:multiLevelType w:val="hybridMultilevel"/>
    <w:tmpl w:val="C9789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569"/>
    <w:multiLevelType w:val="hybridMultilevel"/>
    <w:tmpl w:val="05A0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0C93"/>
    <w:multiLevelType w:val="hybridMultilevel"/>
    <w:tmpl w:val="4DE4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1742"/>
    <w:multiLevelType w:val="hybridMultilevel"/>
    <w:tmpl w:val="DDC2E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3E09"/>
    <w:multiLevelType w:val="hybridMultilevel"/>
    <w:tmpl w:val="1C600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5C66"/>
    <w:multiLevelType w:val="hybridMultilevel"/>
    <w:tmpl w:val="0832C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1773"/>
    <w:multiLevelType w:val="hybridMultilevel"/>
    <w:tmpl w:val="9670D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4691"/>
    <w:multiLevelType w:val="hybridMultilevel"/>
    <w:tmpl w:val="ECB6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54C5"/>
    <w:multiLevelType w:val="hybridMultilevel"/>
    <w:tmpl w:val="1D2EE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5053"/>
    <w:multiLevelType w:val="hybridMultilevel"/>
    <w:tmpl w:val="DD8A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23E15"/>
    <w:multiLevelType w:val="hybridMultilevel"/>
    <w:tmpl w:val="BA7C9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F4E8B"/>
    <w:multiLevelType w:val="hybridMultilevel"/>
    <w:tmpl w:val="C9A2FAD8"/>
    <w:lvl w:ilvl="0" w:tplc="FA4E0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0F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4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CE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AD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02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06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08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B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3919A5"/>
    <w:multiLevelType w:val="hybridMultilevel"/>
    <w:tmpl w:val="1C5C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F1A2B"/>
    <w:multiLevelType w:val="hybridMultilevel"/>
    <w:tmpl w:val="37D07DBA"/>
    <w:lvl w:ilvl="0" w:tplc="D6840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AE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6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0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0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A1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4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D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0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2F580A"/>
    <w:multiLevelType w:val="hybridMultilevel"/>
    <w:tmpl w:val="8E4C6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B5C2D"/>
    <w:multiLevelType w:val="hybridMultilevel"/>
    <w:tmpl w:val="0462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761F"/>
    <w:multiLevelType w:val="hybridMultilevel"/>
    <w:tmpl w:val="A6F2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818F2"/>
    <w:multiLevelType w:val="hybridMultilevel"/>
    <w:tmpl w:val="664A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702DE"/>
    <w:multiLevelType w:val="hybridMultilevel"/>
    <w:tmpl w:val="7726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4403C"/>
    <w:multiLevelType w:val="hybridMultilevel"/>
    <w:tmpl w:val="0CA6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92BE1"/>
    <w:multiLevelType w:val="hybridMultilevel"/>
    <w:tmpl w:val="36908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11CE"/>
    <w:multiLevelType w:val="hybridMultilevel"/>
    <w:tmpl w:val="5E8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F2E3F"/>
    <w:multiLevelType w:val="hybridMultilevel"/>
    <w:tmpl w:val="56A0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E4CBF"/>
    <w:multiLevelType w:val="hybridMultilevel"/>
    <w:tmpl w:val="126E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F3D64"/>
    <w:multiLevelType w:val="hybridMultilevel"/>
    <w:tmpl w:val="DFD4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84723"/>
    <w:multiLevelType w:val="hybridMultilevel"/>
    <w:tmpl w:val="87C88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53A4A"/>
    <w:multiLevelType w:val="hybridMultilevel"/>
    <w:tmpl w:val="3F7E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6"/>
  </w:num>
  <w:num w:numId="5">
    <w:abstractNumId w:val="28"/>
  </w:num>
  <w:num w:numId="6">
    <w:abstractNumId w:val="9"/>
  </w:num>
  <w:num w:numId="7">
    <w:abstractNumId w:val="5"/>
  </w:num>
  <w:num w:numId="8">
    <w:abstractNumId w:val="6"/>
  </w:num>
  <w:num w:numId="9">
    <w:abstractNumId w:val="26"/>
  </w:num>
  <w:num w:numId="10">
    <w:abstractNumId w:val="12"/>
  </w:num>
  <w:num w:numId="11">
    <w:abstractNumId w:val="22"/>
  </w:num>
  <w:num w:numId="12">
    <w:abstractNumId w:val="20"/>
  </w:num>
  <w:num w:numId="13">
    <w:abstractNumId w:val="24"/>
  </w:num>
  <w:num w:numId="14">
    <w:abstractNumId w:val="2"/>
  </w:num>
  <w:num w:numId="15">
    <w:abstractNumId w:val="10"/>
  </w:num>
  <w:num w:numId="16">
    <w:abstractNumId w:val="21"/>
  </w:num>
  <w:num w:numId="17">
    <w:abstractNumId w:val="4"/>
  </w:num>
  <w:num w:numId="18">
    <w:abstractNumId w:val="3"/>
  </w:num>
  <w:num w:numId="19">
    <w:abstractNumId w:val="11"/>
  </w:num>
  <w:num w:numId="20">
    <w:abstractNumId w:val="25"/>
  </w:num>
  <w:num w:numId="21">
    <w:abstractNumId w:val="0"/>
  </w:num>
  <w:num w:numId="22">
    <w:abstractNumId w:val="8"/>
  </w:num>
  <w:num w:numId="23">
    <w:abstractNumId w:val="23"/>
  </w:num>
  <w:num w:numId="24">
    <w:abstractNumId w:val="18"/>
  </w:num>
  <w:num w:numId="25">
    <w:abstractNumId w:val="19"/>
  </w:num>
  <w:num w:numId="26">
    <w:abstractNumId w:val="1"/>
  </w:num>
  <w:num w:numId="27">
    <w:abstractNumId w:val="14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56"/>
    <w:rsid w:val="00021675"/>
    <w:rsid w:val="00022629"/>
    <w:rsid w:val="00023347"/>
    <w:rsid w:val="00030653"/>
    <w:rsid w:val="00033C90"/>
    <w:rsid w:val="000475A1"/>
    <w:rsid w:val="000543B4"/>
    <w:rsid w:val="00057DDB"/>
    <w:rsid w:val="0006129A"/>
    <w:rsid w:val="00065E09"/>
    <w:rsid w:val="00080D3A"/>
    <w:rsid w:val="0008445F"/>
    <w:rsid w:val="00090FF3"/>
    <w:rsid w:val="000A1ECA"/>
    <w:rsid w:val="000A43B8"/>
    <w:rsid w:val="000B16B8"/>
    <w:rsid w:val="000E758E"/>
    <w:rsid w:val="000F0C3C"/>
    <w:rsid w:val="000F7F69"/>
    <w:rsid w:val="0011243C"/>
    <w:rsid w:val="001210E2"/>
    <w:rsid w:val="0012728B"/>
    <w:rsid w:val="0013386A"/>
    <w:rsid w:val="00154A7A"/>
    <w:rsid w:val="0017387F"/>
    <w:rsid w:val="001844EE"/>
    <w:rsid w:val="001869EA"/>
    <w:rsid w:val="0018706B"/>
    <w:rsid w:val="001A02E0"/>
    <w:rsid w:val="001A3AA7"/>
    <w:rsid w:val="001C4FB5"/>
    <w:rsid w:val="001C636C"/>
    <w:rsid w:val="001D5A72"/>
    <w:rsid w:val="001E0A3D"/>
    <w:rsid w:val="001E70FD"/>
    <w:rsid w:val="001F1583"/>
    <w:rsid w:val="00207506"/>
    <w:rsid w:val="002159CE"/>
    <w:rsid w:val="00223184"/>
    <w:rsid w:val="00223DC6"/>
    <w:rsid w:val="002251E7"/>
    <w:rsid w:val="00232BDE"/>
    <w:rsid w:val="0023513A"/>
    <w:rsid w:val="0024063A"/>
    <w:rsid w:val="00254558"/>
    <w:rsid w:val="002661D2"/>
    <w:rsid w:val="00270A47"/>
    <w:rsid w:val="00276CA9"/>
    <w:rsid w:val="0028168E"/>
    <w:rsid w:val="00282545"/>
    <w:rsid w:val="00287E13"/>
    <w:rsid w:val="002C49C1"/>
    <w:rsid w:val="002C6F00"/>
    <w:rsid w:val="002D082C"/>
    <w:rsid w:val="002D0DBF"/>
    <w:rsid w:val="002E4BC5"/>
    <w:rsid w:val="002E6A00"/>
    <w:rsid w:val="002F202D"/>
    <w:rsid w:val="002F5426"/>
    <w:rsid w:val="002F7DC8"/>
    <w:rsid w:val="003013D3"/>
    <w:rsid w:val="00302E34"/>
    <w:rsid w:val="00307025"/>
    <w:rsid w:val="00315D19"/>
    <w:rsid w:val="00334BC3"/>
    <w:rsid w:val="00350214"/>
    <w:rsid w:val="00363EF8"/>
    <w:rsid w:val="00374DCD"/>
    <w:rsid w:val="00384FBC"/>
    <w:rsid w:val="00387741"/>
    <w:rsid w:val="00390CEA"/>
    <w:rsid w:val="003A76E7"/>
    <w:rsid w:val="003B3A0C"/>
    <w:rsid w:val="003B4D77"/>
    <w:rsid w:val="003B5077"/>
    <w:rsid w:val="003F6CBB"/>
    <w:rsid w:val="00406920"/>
    <w:rsid w:val="004079C1"/>
    <w:rsid w:val="00410DED"/>
    <w:rsid w:val="004127C9"/>
    <w:rsid w:val="0042532A"/>
    <w:rsid w:val="00444E0C"/>
    <w:rsid w:val="004541C9"/>
    <w:rsid w:val="00472503"/>
    <w:rsid w:val="0047448E"/>
    <w:rsid w:val="00474E83"/>
    <w:rsid w:val="00491847"/>
    <w:rsid w:val="004959CF"/>
    <w:rsid w:val="004A55D3"/>
    <w:rsid w:val="004E1E91"/>
    <w:rsid w:val="004E3E4D"/>
    <w:rsid w:val="004F5A48"/>
    <w:rsid w:val="0050167C"/>
    <w:rsid w:val="00503395"/>
    <w:rsid w:val="00526E94"/>
    <w:rsid w:val="00540111"/>
    <w:rsid w:val="0058452E"/>
    <w:rsid w:val="005A766F"/>
    <w:rsid w:val="005C5650"/>
    <w:rsid w:val="005D06FC"/>
    <w:rsid w:val="00612831"/>
    <w:rsid w:val="00612DEB"/>
    <w:rsid w:val="00617748"/>
    <w:rsid w:val="00626574"/>
    <w:rsid w:val="00632BE0"/>
    <w:rsid w:val="00653614"/>
    <w:rsid w:val="00662414"/>
    <w:rsid w:val="006635DA"/>
    <w:rsid w:val="006744CC"/>
    <w:rsid w:val="00677BD7"/>
    <w:rsid w:val="006844CD"/>
    <w:rsid w:val="00685D76"/>
    <w:rsid w:val="00691DAC"/>
    <w:rsid w:val="00694E64"/>
    <w:rsid w:val="00694F50"/>
    <w:rsid w:val="006B1A82"/>
    <w:rsid w:val="006B3071"/>
    <w:rsid w:val="006C09C9"/>
    <w:rsid w:val="006D2418"/>
    <w:rsid w:val="006F60BA"/>
    <w:rsid w:val="006F71F8"/>
    <w:rsid w:val="006F7925"/>
    <w:rsid w:val="007015FC"/>
    <w:rsid w:val="00726125"/>
    <w:rsid w:val="00736888"/>
    <w:rsid w:val="00751ABE"/>
    <w:rsid w:val="007575A6"/>
    <w:rsid w:val="007A4B38"/>
    <w:rsid w:val="007B6D9E"/>
    <w:rsid w:val="007C3817"/>
    <w:rsid w:val="007C70E8"/>
    <w:rsid w:val="007E10B3"/>
    <w:rsid w:val="007E29D6"/>
    <w:rsid w:val="007E7879"/>
    <w:rsid w:val="0080417F"/>
    <w:rsid w:val="00807F4F"/>
    <w:rsid w:val="008220C7"/>
    <w:rsid w:val="00845BB6"/>
    <w:rsid w:val="00850185"/>
    <w:rsid w:val="00854C7E"/>
    <w:rsid w:val="00854EEA"/>
    <w:rsid w:val="00857A5A"/>
    <w:rsid w:val="00862A14"/>
    <w:rsid w:val="008835D0"/>
    <w:rsid w:val="008A0D70"/>
    <w:rsid w:val="008E3526"/>
    <w:rsid w:val="008F3F83"/>
    <w:rsid w:val="00903356"/>
    <w:rsid w:val="0090649B"/>
    <w:rsid w:val="00906985"/>
    <w:rsid w:val="00906C6D"/>
    <w:rsid w:val="009123E0"/>
    <w:rsid w:val="00916101"/>
    <w:rsid w:val="00924BC8"/>
    <w:rsid w:val="0093526E"/>
    <w:rsid w:val="00944C4F"/>
    <w:rsid w:val="00954AFC"/>
    <w:rsid w:val="0095577C"/>
    <w:rsid w:val="00957E73"/>
    <w:rsid w:val="00966259"/>
    <w:rsid w:val="00983BA8"/>
    <w:rsid w:val="0099172C"/>
    <w:rsid w:val="009A12E2"/>
    <w:rsid w:val="009A7FE4"/>
    <w:rsid w:val="009C0509"/>
    <w:rsid w:val="009C0ED8"/>
    <w:rsid w:val="009C407C"/>
    <w:rsid w:val="009C7533"/>
    <w:rsid w:val="009F495B"/>
    <w:rsid w:val="00A10070"/>
    <w:rsid w:val="00A20B37"/>
    <w:rsid w:val="00A30086"/>
    <w:rsid w:val="00A32D39"/>
    <w:rsid w:val="00A42832"/>
    <w:rsid w:val="00A55386"/>
    <w:rsid w:val="00A61141"/>
    <w:rsid w:val="00A71BEE"/>
    <w:rsid w:val="00A80210"/>
    <w:rsid w:val="00AA4FC8"/>
    <w:rsid w:val="00AB1EA0"/>
    <w:rsid w:val="00B05F40"/>
    <w:rsid w:val="00B06642"/>
    <w:rsid w:val="00B205EC"/>
    <w:rsid w:val="00B31ED0"/>
    <w:rsid w:val="00B33560"/>
    <w:rsid w:val="00B374D6"/>
    <w:rsid w:val="00B47301"/>
    <w:rsid w:val="00B91585"/>
    <w:rsid w:val="00B91A46"/>
    <w:rsid w:val="00B95200"/>
    <w:rsid w:val="00B95B51"/>
    <w:rsid w:val="00BA0E54"/>
    <w:rsid w:val="00BB65BB"/>
    <w:rsid w:val="00BD0025"/>
    <w:rsid w:val="00BD7F1E"/>
    <w:rsid w:val="00BF6D00"/>
    <w:rsid w:val="00C00EA0"/>
    <w:rsid w:val="00C0537D"/>
    <w:rsid w:val="00C17879"/>
    <w:rsid w:val="00C2383E"/>
    <w:rsid w:val="00C34BA2"/>
    <w:rsid w:val="00C350E0"/>
    <w:rsid w:val="00C42857"/>
    <w:rsid w:val="00C74F1D"/>
    <w:rsid w:val="00C91A5F"/>
    <w:rsid w:val="00C96A6A"/>
    <w:rsid w:val="00CB1C2F"/>
    <w:rsid w:val="00CE194A"/>
    <w:rsid w:val="00CE2A93"/>
    <w:rsid w:val="00CE6D47"/>
    <w:rsid w:val="00CF36DD"/>
    <w:rsid w:val="00CF5B4D"/>
    <w:rsid w:val="00D01997"/>
    <w:rsid w:val="00D03652"/>
    <w:rsid w:val="00D064A7"/>
    <w:rsid w:val="00D116E1"/>
    <w:rsid w:val="00D322F1"/>
    <w:rsid w:val="00D53CA9"/>
    <w:rsid w:val="00D64459"/>
    <w:rsid w:val="00D91320"/>
    <w:rsid w:val="00DB0B9E"/>
    <w:rsid w:val="00DC1A5B"/>
    <w:rsid w:val="00DD77A9"/>
    <w:rsid w:val="00DE1194"/>
    <w:rsid w:val="00DE16D1"/>
    <w:rsid w:val="00DF24E2"/>
    <w:rsid w:val="00E042F8"/>
    <w:rsid w:val="00E06883"/>
    <w:rsid w:val="00E111F6"/>
    <w:rsid w:val="00E2027D"/>
    <w:rsid w:val="00E2035B"/>
    <w:rsid w:val="00E451A3"/>
    <w:rsid w:val="00E5499D"/>
    <w:rsid w:val="00E61092"/>
    <w:rsid w:val="00E7787E"/>
    <w:rsid w:val="00E8454F"/>
    <w:rsid w:val="00EA4B1B"/>
    <w:rsid w:val="00EB25F3"/>
    <w:rsid w:val="00EB54E5"/>
    <w:rsid w:val="00EC4394"/>
    <w:rsid w:val="00EC4ECA"/>
    <w:rsid w:val="00EE4705"/>
    <w:rsid w:val="00EF06B4"/>
    <w:rsid w:val="00F27978"/>
    <w:rsid w:val="00F3497A"/>
    <w:rsid w:val="00F368CC"/>
    <w:rsid w:val="00F51772"/>
    <w:rsid w:val="00F5403B"/>
    <w:rsid w:val="00F554A9"/>
    <w:rsid w:val="00F82A65"/>
    <w:rsid w:val="00F839D2"/>
    <w:rsid w:val="00F90EDE"/>
    <w:rsid w:val="00F91E16"/>
    <w:rsid w:val="00FA0C3F"/>
    <w:rsid w:val="00FA5350"/>
    <w:rsid w:val="00FA5A4E"/>
    <w:rsid w:val="00FB4A97"/>
    <w:rsid w:val="00FB7CD2"/>
    <w:rsid w:val="00FC41AE"/>
    <w:rsid w:val="00FC5581"/>
    <w:rsid w:val="00FC7A30"/>
    <w:rsid w:val="00FD1FA6"/>
    <w:rsid w:val="00FD58A8"/>
    <w:rsid w:val="00FE77B1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A539D"/>
  <w15:docId w15:val="{093E89BB-7B6F-4034-A1A7-15AF5F6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3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03356"/>
  </w:style>
  <w:style w:type="paragraph" w:styleId="Stopka">
    <w:name w:val="footer"/>
    <w:basedOn w:val="Normalny"/>
    <w:link w:val="StopkaZnak"/>
    <w:uiPriority w:val="99"/>
    <w:unhideWhenUsed/>
    <w:rsid w:val="009033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3356"/>
  </w:style>
  <w:style w:type="paragraph" w:styleId="Tekstdymka">
    <w:name w:val="Balloon Text"/>
    <w:basedOn w:val="Normalny"/>
    <w:link w:val="TekstdymkaZnak"/>
    <w:uiPriority w:val="99"/>
    <w:semiHidden/>
    <w:unhideWhenUsed/>
    <w:rsid w:val="00903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3F8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TEXTONORMAL">
    <w:name w:val="TEXTO NORMAL"/>
    <w:basedOn w:val="Normalny"/>
    <w:next w:val="Normalny"/>
    <w:rsid w:val="00BD0025"/>
    <w:pPr>
      <w:spacing w:line="276" w:lineRule="auto"/>
    </w:pPr>
    <w:rPr>
      <w:rFonts w:ascii="BesSans" w:eastAsia="Calibri" w:hAnsi="BesSans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BD0025"/>
    <w:pPr>
      <w:ind w:left="720"/>
    </w:pPr>
    <w:rPr>
      <w:rFonts w:ascii="Calibri" w:eastAsia="Calibri" w:hAnsi="Calibri"/>
      <w:lang w:val="en-US" w:eastAsia="en-US"/>
    </w:rPr>
  </w:style>
  <w:style w:type="paragraph" w:customStyle="1" w:styleId="a">
    <w:name w:val="[基本段落]"/>
    <w:basedOn w:val="Normalny"/>
    <w:rsid w:val="00BD002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Calibri" w:cs="Adobe 宋体 Std L"/>
      <w:color w:val="000000"/>
      <w:lang w:val="zh-CN" w:eastAsia="zh-CN"/>
    </w:rPr>
  </w:style>
  <w:style w:type="character" w:styleId="Odwoaniedokomentarza">
    <w:name w:val="annotation reference"/>
    <w:basedOn w:val="Domylnaczcionkaakapitu"/>
    <w:rsid w:val="00BD00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0025"/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0025"/>
    <w:rPr>
      <w:rFonts w:ascii="Calibri" w:eastAsia="Calibri" w:hAnsi="Calibri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82C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8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82C"/>
    <w:rPr>
      <w:vertAlign w:val="superscript"/>
    </w:rPr>
  </w:style>
  <w:style w:type="paragraph" w:customStyle="1" w:styleId="Default">
    <w:name w:val="Default"/>
    <w:rsid w:val="00A20B37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2F7D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tongib.com/en/what-we-do/re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46B4-733C-4D8D-B481-7CA0A3F6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Huntsworth Plc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Colkin</dc:creator>
  <cp:lastModifiedBy>Hanna Mkhitaran</cp:lastModifiedBy>
  <cp:revision>5</cp:revision>
  <cp:lastPrinted>2018-10-04T12:02:00Z</cp:lastPrinted>
  <dcterms:created xsi:type="dcterms:W3CDTF">2019-05-29T13:41:00Z</dcterms:created>
  <dcterms:modified xsi:type="dcterms:W3CDTF">2019-05-30T05:22:00Z</dcterms:modified>
</cp:coreProperties>
</file>